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南阳市信用评级报告(区域部分)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南阳作为河南省下辖地级市，经济总量列河南省第三位，人均GDP约5.50万元、人均经济实力在省内相对靠后，经济增速由4.86%回升至6.50%、动能边际改善；固定资产投资最新增速5.50%，经济运行总体平稳。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南阳市2023、2024、2025年地区生产总值分别为4,628.12亿元、4,888.74亿元、5,167.86亿元，同比增长4.86%、5.50%、6.50%。截至2025年末，全市常住人口939.50万人，人均GDP约5.50万元（按当年GDP与常住人口估算）。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产业结构方面，2025年南阳市三次产业结构为15.3:31.9:52.8，第三产业占主导、服务业是经济主体，农业基础较好。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2023、2024、2025年固定资产投资增速分别为5.80%、7.00%、5.50%，2025年社会消费品零售总额2,599.76亿元，进出口总额23.69亿美元。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南阳市2025年GDP总量5,167.86亿元、列全省第三位，一般公共预算收入228.30亿元、列全省第五位。整体来看，南阳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南阳市财政体量在河南省处于中游，税收占比67.62%、税收质量较好，但政府性基金收入较2023年累计下降43%、土地财政贡献度弱化；2025年末宽口径债务率701.85%、处于偏高水平，已显著高于公认的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南阳市一般公共预算收入分别为289.38亿元、222.21亿元、228.30亿元，其中税收收入197.38亿元、155.28亿元、154.38亿元，税收占比维持在68.21%、69.88%、67.62%；一般公共预算支出816.68亿元、820.05亿元、820.40亿元，财政自给率35.43%、27.10%、27.83%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政府性基金收入方面，2023、2024、2025年分别为154.40亿元、117.73亿元、87.90亿元，政府性基金收入较2023年累计下降43%、土地财政贡献度弱化，反映地方综合财力对房地产周期的敞口。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图表：2023-2025年南阳市财政收入情况(单位:亿元、%)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222.21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-23.21%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197.38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-0.58%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816.68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154.40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-23.75%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-25.34%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资料来源:南阳市财政决算、企业预警通,风控信评部整理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土地市场方面，【待补充:南阳市土地出让与房地产销售数据（土地市场数据库未覆盖该市）】。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南阳市地方政府债务余额分别为1,241.63亿元、1,452.19亿元、1,663.80亿元，2025年末债务限额1,687.30亿元，债务余额控制在限额以内；城投有息债务2025年末估算余额681.07亿元。债务率指标看，2025年末政府债务率497.99%、城投债务率203.85%、宽口径债务率701.85%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南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