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商丘市信用评级报告(区域部分)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商丘作为河南省下辖地级市，经济总量列河南省第八位，人均GDP约4.58万元、人均经济实力在省内相对靠后，经济增速由3.70%回升至6.20%、动能边际改善；固定资产投资最新增速5.20%，经济运行总体平稳。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商丘市2023、2024、2025年地区生产总值分别为3,188.78亿元、3,286.72亿元、3,475.38亿元，同比增长3.70%、4.10%、6.20%。截至2025年末，全市常住人口756.40万人，人均GDP约4.58万元。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产业结构方面，2025年商丘市三次产业结构为17.3:32.2:50.5，第三产业占主导、服务业是经济主体，农业基础较好。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2023、2024、2025年固定资产投资增速分别为6.10%、8.10%、5.20%，2025年社会消费品零售总额1,646.66亿元，进出口总额12.96亿美元。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商丘市2025年GDP总量3,475.38亿元、列全省第八位，一般公共预算收入193.40亿元、列全省第九位。整体来看，商丘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商丘市财政体量在河南省处于中游，税收占比56.07%、税收占比处于一般水平，但政府性基金收入较2023年累计增长20%；2025年末宽口径债务率796.31%、处于偏高水平，已显著高于公认的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商丘市一般公共预算收入分别为200.94亿元、183.88亿元、193.40亿元，其中税收收入119.72亿元、107.26亿元、108.44亿元，税收占比维持在59.58%、58.33%、56.07%；一般公共预算支出561.82亿元、572.46亿元、575.60亿元，财政自给率35.77%、32.12%、33.60%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政府性基金收入方面，2023、2024、2025年分别为80.14亿元、108.78亿元、96.50亿元，政府性基金收入较2023年累计增长20%，反映地方综合财力对房地产周期的敞口。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图表：2023-2025年商丘市财政收入情况(单位:亿元、%)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-11.29%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资料来源:商丘市财政决算、企业预警通,风控信评部整理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土地市场方面，【待补充:商丘市土地出让与房地产销售数据（土地市场数据库未覆盖该市）】。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商丘市地方政府债务余额分别为947.11亿元、1,395.28亿元、1,627.02亿元，2025年末债务限额1,640.40亿元，债务余额控制在限额以内；城投有息债务2025年末估算余额719.71亿元。债务率指标看，2025年末政府债务率552.09%、城投债务率244.22%、宽口径债务率796.31%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商丘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