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安阳市信用评级报告(区域部分)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安阳作为河南省下辖地级市，经济总量列河南省第12位，人均经济实力居省内中游，经济增速由3.33%回升至5.50%、动能边际改善；固定资产投资最新增速5.31%，经济运行总体平稳。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安阳市2023、2024、2025年地区生产总值分别为2,572.91亿元、2,657.50亿元、2,765.80亿元，同比增长3.33%、4.60%、5.50%。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产业结构方面，2025年安阳市三次产业结构为7.75:39.26:52.99，第三产业占主导、服务业是经济主体。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2023、2024、2025年固定资产投资增速分别为-1.90%、8.00%、5.31%，2025年社会消费品零售总额1,034.96亿元，进出口总额14.87亿美元。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安阳市2025年GDP总量2,765.80亿元、列全省第12位，一般公共预算收入244.20亿元、列全省第三位。整体来看，安阳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安阳市财政体量在河南省位居前列，税收占比59.99%、税收占比处于一般水平，但政府性基金收入较2023年累计下降53%、土地财政贡献度弱化；2025年末宽口径债务率493.97%、处于偏高水平，已显著高于公认的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安阳市一般公共预算收入分别为235.70亿元、240.60亿元、244.20亿元，其中税收收入152.60亿元、146.20亿元、146.50亿元，税收占比维持在64.74%、60.76%、59.99%；一般公共预算支出446.80亿元、451.20亿元、458.90亿元，财政自给率52.75%、53.32%、53.21%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政府性基金收入方面，2023、2024、2025年分别为65.10亿元、37.80亿元、30.50亿元，政府性基金收入较2023年累计下降53%、土地财政贡献度弱化，反映地方综合财力对房地产周期的敞口。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图表：2023-2025年安阳市财政收入情况(单位:亿元、%)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-41.94%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-19.31%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资料来源:安阳市财政决算、企业预警通,风控信评部整理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土地市场方面，【待补充:安阳市土地出让与房地产销售数据（土地市场数据库未覆盖该市）】。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安阳市地方政府债务余额分别为713.23亿元、818.22亿元、928.40亿元，2025年末债务限额943.10亿元，债务余额控制在限额以内；城投有息债务2025年末估算余额430.25亿元。债务率指标看，2025年末政府债务率337.54%、城投债务率156.43%、宽口径债务率493.97%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安阳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