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新乡市信用评级报告(区域部分)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新乡作为河南省下辖地级市，经济总量列河南省第五位，人均经济实力居省内中游，经济增速由1.60%回升至5.00%、动能边际改善；固定资产投资最新增速1.20%，经济运行总体平稳。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新乡市2023、2024、2025年地区生产总值分别为3,429.41亿元、3,552.92亿元、3,687.07亿元，同比增长1.60%、4.90%、5.00%。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产业结构方面，新乡作为河南省下辖地级市，区域产业结构以本地优势产业为主。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2023、2024、2025年固定资产投资增速分别为-5.40%、8.90%、1.20%，2025年社会消费品零售总额1,494.30亿元，进出口总额25.80亿美元。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新乡市2025年GDP总量3,687.07亿元、列全省第五位，一般公共预算收入234.72亿元、列全省第四位。整体来看，新乡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新乡市财政体量在河南省处于中游，税收占比65.51%、税收质量较好，但政府性基金收入较2023年累计下降63%、土地财政贡献度弱化；2025年末宽口径债务率627.41%、处于偏高水平，已显著高于公认的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新乡市一般公共预算收入分别为241.51亿元、232.58亿元、234.72亿元，其中税收收入160.05亿元、153.68亿元、153.76亿元，税收占比维持在66.27%、66.07%、65.51%；一般公共预算支出489.88亿元、480.33亿元、481.03亿元，财政自给率49.30%、48.42%、48.79%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政府性基金收入方面，2023、2024、2025年分别为104.30亿元、63.10亿元、38.56亿元，政府性基金收入较2023年累计下降63%、土地财政贡献度弱化，反映地方综合财力对房地产周期的敞口。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图表：2023-2025年新乡市财政收入情况(单位:亿元、%)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241.51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489.88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481.03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-39.50%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-38.89%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资料来源:新乡市财政决算、企业预警通,风控信评部整理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土地市场方面，【待补充:新乡市土地出让与房地产销售数据（土地市场数据库未覆盖该市）】。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新乡市地方政府债务余额分别为746.69亿元、871.15亿元、1,009.88亿元，2025年末债务限额1,037.55亿元，债务余额控制在限额以内；城投有息债务2025年末估算余额705.03亿元。债务率指标看，2025年末政府债务率369.47%、城投债务率257.94%、宽口径债务率627.41%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新乡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