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洛阳市信用评级报告(区域部分)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洛阳作为河南省下辖地级市，经济总量列河南省第二位，人均GDP约8.70万元、人均经济实力居全省前列，经济增速由3.53%回升至6.00%、动能边际改善；固定资产投资最新增速5.00%，经济运行总体平稳。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洛阳市2023、2024、2025年地区生产总值分别为5,530.95亿元、5,825.86亿元、6,164.52亿元，同比增长3.53%、4.90%、6.00%。截至2025年末，全市常住人口708.30万人，人均GDP约8.70万元（按当年GDP与常住人口估算）。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产业结构方面，2025年洛阳市三次产业结构为3.7:40.1:56.2，以装备制造、新材料、能源化工为支柱，是老工业基地，聚集中信重工、一拖等企业。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2023、2024、2025年固定资产投资增速分别为-7.50%、5.20%、5.00%，2025年社会消费品零售总额2,475.10亿元，进出口总额42.54亿美元。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洛阳市2025年GDP总量6,164.52亿元、列全省第二位，一般公共预算收入421.80亿元、列全省第二位。整体来看，洛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洛阳市财政体量在河南省位居前列，税收占比67.16%、税收质量较好，但政府性基金收入较2023年累计增长15%；2025年末宽口径债务率543.02%、处于偏高水平，已显著高于公认的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洛阳市一般公共预算收入分别为404.29亿元、406.96亿元、421.80亿元，其中税收收入265.64亿元、268.42亿元、283.30亿元，税收占比维持在65.71%、65.96%、67.16%；一般公共预算支出666.60亿元、701.85亿元、723.30亿元，财政自给率60.65%、57.98%、58.32%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政府性基金收入方面，2023、2024、2025年分别为196.10亿元、269.71亿元、225.70亿元，政府性基金收入较2023年累计增长15%，反映地方综合财力对房地产周期的敞口。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图表：2023-2025年洛阳市财政收入情况(单位:亿元、%)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268.42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701.85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269.71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资料来源:洛阳市财政决算、企业预警通,风控信评部整理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土地市场方面，【待补充:洛阳市土地出让与房地产销售数据（土地市场数据库未覆盖该市）】。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洛阳市地方政府债务余额分别为1,202.84亿元、1,549.45亿元、1,895.20亿元，2025年末债务限额1,915.30亿元，债务余额控制在限额以内；城投有息债务2025年末估算余额1,669.75亿元。债务率指标看，2025年末政府债务率288.68%、城投债务率254.34%、宽口径债务率543.02%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洛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