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泰州市信用评级报告(区域部分)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泰州经济总量列江苏省第九位，人均GDP约—万元、人均经济实力居省内中游，经济增速由6.80%回落至5.30%、有所放缓；固定资产投资最新增速转负（-36.50%），经济动能仍有待修复。【待补充：泰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泰州市2023、2024、2025年地区生产总值分别为6,754.66亿元、7,001.93亿元、7,255.27亿元，同比增长6.80%、4.90%、5.30%。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产业结构方面，2025年泰州市三次产业结构为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2023、2024、2025年固定资产投资增速分别为9.40%、8.80%、-36.50%，2025年社会消费品零售总额1,834.75亿元，进出口总额242.98亿美元。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泰州市2025年GDP总量7,255.27亿元、列全省第九位，一般公共预算收入475.49亿元、列全省第八位。整体来看，泰州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泰州市财政体量在江苏省处于中游，税收占比67.81%、税收质量较好，但政府性基金收入较2023年累计下降21%、土地财政贡献度弱化；2025年末宽口径债务率1061.14%、处于偏高水平，已显著高于公认的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泰州市一般公共预算收入分别为449.13亿元、453.08亿元、475.49亿元，其中税收收入307.91亿元、303.87亿元、322.45亿元，税收占比维持在68.56%、67.07%、67.81%；一般公共预算支出697.42亿元、695.93亿元、686.40亿元，财政自给率64.40%、65.10%、69.27%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政府性基金收入方面，2023、2024、2025年分别为493.01亿元、420.56亿元、388.35亿元，政府性基金收入较2023年累计下降21%、土地财政贡献度弱化，反映地方综合财力对房地产周期的敞口。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图表：2023-2025年泰州市财政收入情况(单位:亿元、%)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493.01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资料来源:泰州市财政决算、企业预警通,风控信评部整理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土地市场方面，【待补充:泰州市土地出让与房地产销售数据（土地市场数据库未覆盖该市）】。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泰州市地方政府债务余额分别为1,070.72亿元、1,315.70亿元、1,559.08亿元，2025年末债务限额1,585.92亿元，债务余额控制在限额以内；城投有息债务2025年末估算余额7,805.06亿元。债务率指标看，2025年末政府债务率176.67%、城投债务率884.47%、宽口径债务率1061.14%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泰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