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淮安市信用评级报告(区域部分)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淮安经济总量列江苏省第11位，人均GDP约12.49万元、人均经济实力在省内相对靠后，经济增速由7.60%回落至5.90%、有所放缓；固定资产投资最新增速转负（-5.40%），经济动能仍有待修复。【待补充：淮安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淮安市2023、2024、2025年地区生产总值分别为5,068.06亿元、5,387.35亿元、5,630.11亿元，同比增长7.60%、7.10%、5.90%。截至2025年末，全市常住人口449.34万人，人均GDP约12.49万元。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产业结构方面，2025年淮安市三次产业结构为 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2023、2024、2025年固定资产投资增速分别为10.40%、13.30%、-5.40%，2025年社会消费品零售总额1,872.34亿元，进出口总额90.37亿美元。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图表：2025年江苏省各地级市主要经济指标对比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苏州市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27,695.10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0.7:46.4:52.9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2,490.23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1304.77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南京市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19,428.78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1.7:30.2:68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1,620.91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963.85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无锡市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16,773.94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0.9:46.9:52.2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753.74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12,801.50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4.2:46.1:49.7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11,158.70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1.6:46.2:52.2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715.47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徐州市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9,957.22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扬州市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8,056.75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8,045.30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7,255.27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475.49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镇江市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5,736.78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3:45:52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5,630.11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449.34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5,026.60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连云港市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4,830.94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9.9:42.6:47.5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456.20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淮安市2025年GDP总量5,630.11亿元、列全省第11位，一般公共预算收入335.33亿元、列全省第11位。整体来看，淮安市经济基本面在江苏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淮安市财政体量在江苏省处于中游，税收占比77.65%、税收质量较好，但政府性基金收入较2023年累计下降29%、土地财政贡献度弱化；2025年末宽口径债务率922.22%、处于偏高水平，已显著高于公认的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淮安市一般公共预算收入分别为316.61亿元、325.54亿元、335.33亿元，其中税收收入239.30亿元、249.72亿元、260.37亿元，税收占比维持在75.58%、76.71%、77.65%；一般公共预算支出717.35亿元、742.48亿元、718.35亿元，财政自给率44.14%、43.84%、46.68%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政府性基金收入方面，2023、2024、2025年分别为435.92亿元、370.71亿元、311.59亿元，政府性基金收入较2023年累计下降29%、土地财政贡献度弱化，反映地方综合财力对房地产周期的敞口。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图表：2023-2025年淮安市财政收入情况(单位:亿元、%)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316.61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325.54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335.33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249.72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76.71%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742.48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718.35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-3.25%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44.14%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43.84%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435.92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-14.96%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311.59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-15.95%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资料来源:淮安市财政决算、企业预警通,风控信评部整理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土地市场方面，【待补充:淮安市土地出让与房地产销售数据（土地市场数据库未覆盖该市）】。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淮安市地方政府债务余额分别为832.65亿元、1,031.29亿元、1,304.56亿元，2025年末债务限额1,329.54亿元，债务余额控制在限额以内；城投有息债务2025年末估算余额5,155.51亿元。债务率指标看，2025年末政府债务率186.24%、城投债务率735.99%、宽口径债务率922.22%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淮安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