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盐城市信用评级报告(区域部分)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盐城经济总量列江苏省第八位，人均GDP约—万元、人均经济实力居省内中游，经济增速由5.80%回落至5.40%、有所放缓；固定资产投资最新增速转负（-15.00%），经济动能仍有待修复。【待补充：盐城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盐城市2023、2024、2025年地区生产总值分别为7,432.87亿元、7,738.16亿元、8,045.30亿元，同比增长5.80%、5.50%、5.40%。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产业结构方面，2025年盐城市三次产业结构为 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2023、2024、2025年固定资产投资增速分别为9.20%、0.30%、-15.00%，2025年社会消费品零售总额2,894.66亿元，进出口总额217.74亿美元。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图表：2025年江苏省各地级市主要经济指标对比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苏州市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27,695.10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0.7:46.4:52.9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2,490.23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1304.77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南京市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19,428.78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1.7:30.2:68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1,620.91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963.85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无锡市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16,773.94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0.9:46.9:52.2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1,225.39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753.74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12,801.50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4.2:46.1:49.7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730.04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常州市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11,158.70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1.6:46.2:52.2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715.47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541.54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徐州市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9,957.22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扬州市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8,056.75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376.30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盐城市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8,045.30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515.74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泰州市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7,255.27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475.49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镇江市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5,736.78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3:45:52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339.03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淮安市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5,630.11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335.33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449.34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宿迁市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5,026.60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316.56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连云港市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4,830.94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9.9:42.6:47.5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305.74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456.20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盐城市2025年GDP总量8,045.30亿元、列全省第八位，一般公共预算收入515.74亿元、列全省第七位。整体来看，盐城市经济基本面在江苏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盐城市财政体量在江苏省处于中游，税收占比67.29%、税收质量较好，但政府性基金收入较2023年累计下降47%、土地财政贡献度弱化；2025年末宽口径债务率824.87%、处于偏高水平，已显著高于公认的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盐城市一般公共预算收入分别为482.73亿元、496.24亿元、515.74亿元，其中税收收入341.25亿元、335.26亿元、347.03亿元，税收占比维持在70.69%、67.56%、67.29%；一般公共预算支出1,228.23亿元、1,137.35亿元、1,099.03亿元，财政自给率39.30%、43.63%、46.93%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政府性基金收入方面，2023、2024、2025年分别为810.19亿元、730.85亿元、425.83亿元，政府性基金收入较2023年累计下降47%、土地财政贡献度弱化，反映地方综合财力对房地产周期的敞口。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图表：2023-2025年盐城市财政收入情况(单位:亿元、%)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482.73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496.24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515.74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3.93%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341.25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335.26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-1.76%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347.03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70.69%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67.56%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67.29%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1,228.23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1,137.35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-7.40%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1,099.03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-3.37%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43.63%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46.93%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810.19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730.85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-9.79%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425.83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-41.73%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资料来源:盐城市财政决算、企业预警通,风控信评部整理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土地市场方面，【待补充:盐城市土地出让与房地产销售数据（土地市场数据库未覆盖该市）】。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盐城市地方政府债务余额分别为1,654.87亿元、1,961.56亿元、2,092.14亿元，2025年末债务限额2,144.83亿元，债务余额控制在限额以内；城投有息债务2025年末估算余额8,920.76亿元。债务率指标看，2025年末政府债务率156.70%、城投债务率668.17%、宽口径债务率824.87%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盐城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