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苏州市信用评级报告(区域部分)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苏州经济总量在江苏省稳居第一，人均GDP约21.30万元、人均经济实力居全省前列，经济增速由4.60%回升至5.40%、动能边际改善；固定资产投资最新增速转负（-6.50%），经济动能仍有待修复。【待补充：苏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苏州市2023、2024、2025年地区生产总值分别为25,513.37亿元、26,726.98亿元、27,695.10亿元，同比增长4.60%、6.00%、5.40%。截至2025年末，全市常住人口1304.77万人，人均GDP约21.30万元。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产业结构方面，2025年苏州市三次产业结构为0.7:46.4:52.9。【待补充：支柱产业、主要龙头企业、对外贸易等定性描述（数据库未覆盖）】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2023、2024、2025年固定资产投资增速分别为5.00%、1.70%、-6.50%，2025年社会消费品零售总额9,092.20亿元，进出口总额3,930.92亿美元。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苏州市2025年GDP总量27,695.10亿元、列全省第一位，一般公共预算收入2,490.23亿元、列全省第一位。整体来看，苏州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苏州市财政体量在江苏省稳居第一，税收占比83.37%、税收质量较好，但政府性基金收入较2023年累计下降44%、土地财政贡献度弱化；2025年末宽口径债务率622.78%、处于偏高水平，已显著高于公认的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苏州市一般公共预算收入分别为2,456.81亿元、2,459.10亿元、2,490.23亿元，其中税收收入2,087.20亿元、2,004.19亿元、2,076.00亿元，税收占比维持在84.96%、81.50%、83.37%；一般公共预算支出2,621.28亿元、2,602.30亿元、2,545.83亿元，财政自给率93.73%、94.50%、97.82%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政府性基金收入方面，2023、2024、2025年分别为1,401.17亿元、1,048.08亿元、788.03亿元，政府性基金收入较2023年累计下降44%、土地财政贡献度弱化，反映地方综合财力对房地产周期的敞口。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图表：2023-2025年苏州市财政收入情况(单位:亿元、%)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2,456.81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2,459.10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0.09%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2,087.20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2,076.00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-0.72%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2,545.83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-2.17%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93.73%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1,401.17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1,048.08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-24.81%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资料来源:苏州市财政决算、企业预警通,风控信评部整理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苏州市经营性用地成交价分别为1,974.62亿元、1,497.18亿元、1,421.80亿元、781.46亿元、711.47亿元，2025年较2021年下降63.97%；同期平均溢价率为4.27%、1.85%、3.64%、1.35%、4.47%；成交楼面均价由3,469元/㎡降至2,184元/㎡、累计下降37.04%。2026年1-4月，苏州市经营性用地累计成交175宗、规划建面936.85万㎡、成交价97.95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图表:2021-2025年苏州市土地出让情况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5,691.50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3,469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1,974.62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4,327.37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1,497.18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3,683.14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3,860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3.64%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1,421.80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3,557.07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2,197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1.35%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781.46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3,257.31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711.47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936.85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97.95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苏州市商品住宅成交面积由1,098.20万㎡变动至302.00万㎡、累计下降72.5%；新房均价2025年为25,561元/㎡、较2023年高点(27,630元/㎡)累计下跌7.49%；2025年去化周期27.78个月。据中指冰山指数(最低挂牌价口径)，苏州二手房挂牌价较2019年11月高点累计下跌42.24%，2023年累计跌幅-8.08%、2024年累计跌幅-13.56%、2025年累计跌幅-16.40%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苏州市地方政府债务余额分别为2,046.12亿元、3,657.97亿元、4,445.63亿元，2025年末债务限额4,534.67亿元，债务余额控制在限额以内；城投有息债务2025年末估算余额16,146.57亿元。债务率指标看，2025年末政府债务率134.45%、城投债务率488.33%、宽口径债务率622.78%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苏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