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连云港市信用评级报告(区域部分)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连云港经济总量列江苏省第13位，人均GDP约10.57万元、人均经济实力在省内相对靠后，经济增速由10.10%回落至5.00%、有所放缓；固定资产投资最新增速转负（-17.30%），经济动能仍有待修复。【待补充：连云港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连云港市2023、2024、2025年地区生产总值分别为4,462.61亿元、4,663.13亿元、4,830.94亿元，同比增长10.10%、5.80%、5.00%。截至2025年末，全市常住人口456.20万人，人均GDP约10.57万元。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产业结构方面，2025年连云港市三次产业结构为9.9:42.6:47.5。【待补充：支柱产业、主要龙头企业、对外贸易等定性描述（数据库未覆盖）】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2023、2024、2025年固定资产投资增速分别为0.10%、2.10%、-17.30%，2025年社会消费品零售总额1,478.72亿元，进出口总额214.87亿美元。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连云港市2025年GDP总量4,830.94亿元、列全省第13位，一般公共预算收入305.74亿元、列全省第13位。整体来看，连云港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连云港市财政体量在江苏省处于中游，税收占比70.86%、税收质量较好，但政府性基金收入较2023年累计下降38%、土地财政贡献度弱化；2025年末宽口径债务率911.14%、处于偏高水平，已显著高于公认的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连云港市一般公共预算收入分别为256.02亿元、287.07亿元、305.74亿元，其中税收收入195.84亿元、209.26亿元、216.66亿元，税收占比维持在76.49%、72.90%、70.86%；一般公共预算支出574.70亿元、596.44亿元、607.76亿元，财政自给率44.55%、48.13%、50.31%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政府性基金收入方面，2023、2024、2025年分别为330.39亿元、208.22亿元、206.46亿元，政府性基金收入较2023年累计下降38%、土地财政贡献度弱化，反映地方综合财力对房地产周期的敞口。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图表：2023-2025年连云港市财政收入情况(单位:亿元、%)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195.84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-0.85%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资料来源:连云港市财政决算、企业预警通,风控信评部整理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土地市场方面，【待补充:连云港市土地出让与房地产销售数据（土地市场数据库未覆盖该市）】。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连云港市地方政府债务余额分别为732.99亿元、852.47亿元、986.27亿元，2025年末债务限额1,004.46亿元，债务余额控制在限额以内；城投有息债务2025年末估算余额3,853.84亿元。债务率指标看，2025年末政府债务率185.66%、城投债务率725.48%、宽口径债务率911.14%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连云港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