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镇江市信用评级报告(区域部分)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镇江经济总量列江苏省第十位，人均GDP约—万元、人均经济实力居省内中游，经济增速由6.30%回落至5.40%、有所放缓；固定资产投资最新增速转负（-5.90%），经济动能仍有待修复。【待补充：镇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镇江市2023、2024、2025年地区生产总值分别为5,290.07亿元、5,540.01亿元、5,736.78亿元，同比增长6.30%、5.90%、5.40%。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产业结构方面，2025年镇江市三次产业结构为3:45:52。【待补充：支柱产业、主要龙头企业、对外贸易等定性描述（数据库未覆盖）】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2023、2024、2025年固定资产投资增速分别为3.00%、5.00%、-5.90%，2025年社会消费品零售总额1,742.63亿元，进出口总额150.28亿美元。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镇江市2025年GDP总量5,736.78亿元、列全省第十位，一般公共预算收入339.03亿元、列全省第十位。整体来看，镇江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镇江市财政体量在江苏省处于中游，税收占比70.44%、税收质量较好，但政府性基金收入总体平稳；2025年末宽口径债务率765.65%、处于偏高水平，已显著高于公认的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镇江市一般公共预算收入分别为320.71亿元、329.11亿元、339.03亿元，其中税收收入229.50亿元、231.81亿元、238.83亿元，税收占比维持在71.56%、70.43%、70.44%；一般公共预算支出533.95亿元、565.84亿元、568.23亿元，财政自给率60.06%、58.16%、59.66%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政府性基金收入方面，2023、2024、2025年分别为406.68亿元、474.97亿元、445.20亿元，政府性基金收入总体平稳，反映地方综合财力对房地产周期的敞口。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图表：2023-2025年镇江市财政收入情况(单位:亿元、%)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406.68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-6.27%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资料来源:镇江市财政决算、企业预警通,风控信评部整理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土地市场方面，【待补充:镇江市土地出让与房地产销售数据（土地市场数据库未覆盖该市）】。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镇江市地方政府债务余额分别为2,459.08亿元、2,693.48亿元、2,939.77亿元，2025年末债务限额2,955.02亿元，债务余额控制在限额以内；城投有息债务2025年末估算余额3,431.15亿元。债务率指标看，2025年末政府债务率353.30%、城投债务率412.35%、宽口径债务率765.65%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镇江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