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240" w:line="360" w:lineRule="auto"/>
        <w:ind w:firstLine="0"/>
        <w:jc w:val="center"/>
      </w:pPr>
      <w:r>
        <w:rPr>
          <w:rFonts w:ascii="Times New Roman" w:hAnsi="Times New Roman" w:eastAsia="楷体"/>
          <w:b/>
          <w:color w:val="000000"/>
          <w:sz w:val="28"/>
        </w:rPr>
        <w:t>九江市信用评级报告(区域部分)</w:t>
      </w:r>
    </w:p>
    <w:p>
      <w:pPr>
        <w:spacing w:before="200" w:after="100" w:line="360" w:lineRule="auto"/>
        <w:ind w:firstLine="0"/>
      </w:pPr>
      <w:r>
        <w:rPr>
          <w:rFonts w:ascii="Times New Roman" w:hAnsi="Times New Roman" w:eastAsia="楷体"/>
          <w:b/>
          <w:color w:val="000000"/>
          <w:sz w:val="21"/>
        </w:rPr>
        <w:t>一、区域经济分析</w:t>
      </w:r>
    </w:p>
    <w:p>
      <w:pPr>
        <w:spacing w:before="120" w:after="60" w:line="360" w:lineRule="auto"/>
        <w:ind w:firstLine="0"/>
      </w:pPr>
      <w:r>
        <w:rPr>
          <w:rFonts w:ascii="Times New Roman" w:hAnsi="Times New Roman" w:eastAsia="楷体"/>
          <w:b/>
          <w:color w:val="000000"/>
          <w:sz w:val="21"/>
        </w:rPr>
        <w:t>■ 九江经济总量列江西省第三位，人均GDP约—万元、人均经济实力居省内中游，经济增速由1.10%回升至5.20%、动能边际改善；固定资产投资最新增速4.30%，经济运行总体平稳。【待补充：九江市的行政与战略定位、支柱产业及龙头企业（数据库未覆盖，需人工补充）】</w:t>
      </w:r>
    </w:p>
    <w:p>
      <w:pPr>
        <w:spacing w:before="0" w:after="60" w:line="360" w:lineRule="auto"/>
        <w:ind w:firstLine="420"/>
      </w:pPr>
      <w:r>
        <w:rPr>
          <w:rFonts w:ascii="Times New Roman" w:hAnsi="Times New Roman" w:eastAsia="楷体"/>
          <w:b w:val="0"/>
          <w:color w:val="000000"/>
          <w:sz w:val="21"/>
        </w:rPr>
        <w:t>九江市2023、2024、2025年地区生产总值分别为3,893.39亿元、4,021.75亿元、4,246.50亿元，同比增长1.10%、3.80%、5.20%。</w:t>
      </w:r>
    </w:p>
    <w:p>
      <w:pPr>
        <w:spacing w:before="0" w:after="60" w:line="360" w:lineRule="auto"/>
        <w:ind w:firstLine="420"/>
      </w:pPr>
      <w:r>
        <w:rPr>
          <w:rFonts w:ascii="Times New Roman" w:hAnsi="Times New Roman" w:eastAsia="楷体"/>
          <w:b w:val="0"/>
          <w:color w:val="000000"/>
          <w:sz w:val="21"/>
        </w:rPr>
        <w:t>产业结构方面，2025年九江市三次产业结构为6.7:38.3:55。【待补充：支柱产业、主要龙头企业、对外贸易等定性描述（数据库未覆盖）】</w:t>
      </w:r>
    </w:p>
    <w:p>
      <w:pPr>
        <w:spacing w:before="0" w:after="60" w:line="360" w:lineRule="auto"/>
        <w:ind w:firstLine="420"/>
      </w:pPr>
      <w:r>
        <w:rPr>
          <w:rFonts w:ascii="Times New Roman" w:hAnsi="Times New Roman" w:eastAsia="楷体"/>
          <w:b w:val="0"/>
          <w:color w:val="000000"/>
          <w:sz w:val="21"/>
        </w:rPr>
        <w:t>2023、2024、2025年固定资产投资增速分别为-12.20%、3.10%、4.30%，2025年社会消费品零售总额1,788.20亿元，进出口总额55.82亿美元。</w:t>
      </w:r>
    </w:p>
    <w:p>
      <w:pPr>
        <w:spacing w:before="80" w:after="40" w:line="360" w:lineRule="auto"/>
        <w:ind w:firstLine="0"/>
        <w:jc w:val="center"/>
      </w:pPr>
      <w:r>
        <w:rPr>
          <w:rFonts w:ascii="Times New Roman" w:hAnsi="Times New Roman" w:eastAsia="楷体"/>
          <w:b/>
          <w:color w:val="000000"/>
          <w:sz w:val="21"/>
        </w:rPr>
        <w:t>图表：2025年江西省各地级市主要经济指标对比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1344"/>
        <w:gridCol w:w="1344"/>
        <w:gridCol w:w="1344"/>
        <w:gridCol w:w="1344"/>
        <w:gridCol w:w="1344"/>
        <w:gridCol w:w="1344"/>
        <w:gridCol w:w="1344"/>
      </w:tblGrid>
      <w:tr>
        <w:tc>
          <w:tcPr>
            <w:tcW w:type="dxa" w:w="1344"/>
            <w:vAlign w:val="center"/>
            <w:shd w:val="clear" w:color="auto" w:fill="F1A983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/>
                <w:color w:val="000000"/>
                <w:sz w:val="18"/>
              </w:rPr>
              <w:t>地级市</w:t>
            </w:r>
          </w:p>
        </w:tc>
        <w:tc>
          <w:tcPr>
            <w:tcW w:type="dxa" w:w="1344"/>
            <w:vAlign w:val="center"/>
            <w:shd w:val="clear" w:color="auto" w:fill="F1A983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/>
                <w:color w:val="000000"/>
                <w:sz w:val="18"/>
              </w:rPr>
              <w:t>GDP(亿元)</w:t>
            </w:r>
          </w:p>
        </w:tc>
        <w:tc>
          <w:tcPr>
            <w:tcW w:type="dxa" w:w="1344"/>
            <w:vAlign w:val="center"/>
            <w:shd w:val="clear" w:color="auto" w:fill="F1A983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/>
                <w:color w:val="000000"/>
                <w:sz w:val="18"/>
              </w:rPr>
              <w:t>人均GDP(万元)</w:t>
            </w:r>
          </w:p>
        </w:tc>
        <w:tc>
          <w:tcPr>
            <w:tcW w:type="dxa" w:w="1344"/>
            <w:vAlign w:val="center"/>
            <w:shd w:val="clear" w:color="auto" w:fill="F1A983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/>
                <w:color w:val="000000"/>
                <w:sz w:val="18"/>
              </w:rPr>
              <w:t>GDP增速</w:t>
            </w:r>
          </w:p>
        </w:tc>
        <w:tc>
          <w:tcPr>
            <w:tcW w:type="dxa" w:w="1344"/>
            <w:vAlign w:val="center"/>
            <w:shd w:val="clear" w:color="auto" w:fill="F1A983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/>
                <w:color w:val="000000"/>
                <w:sz w:val="18"/>
              </w:rPr>
              <w:t>三次产业结构</w:t>
            </w:r>
          </w:p>
        </w:tc>
        <w:tc>
          <w:tcPr>
            <w:tcW w:type="dxa" w:w="1344"/>
            <w:vAlign w:val="center"/>
            <w:shd w:val="clear" w:color="auto" w:fill="F1A983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/>
                <w:color w:val="000000"/>
                <w:sz w:val="18"/>
              </w:rPr>
              <w:t>一般预算(亿元)</w:t>
            </w:r>
          </w:p>
        </w:tc>
        <w:tc>
          <w:tcPr>
            <w:tcW w:type="dxa" w:w="1344"/>
            <w:vAlign w:val="center"/>
            <w:shd w:val="clear" w:color="auto" w:fill="F1A983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/>
                <w:color w:val="000000"/>
                <w:sz w:val="18"/>
              </w:rPr>
              <w:t>常住人口(万人)</w:t>
            </w:r>
          </w:p>
        </w:tc>
      </w:tr>
      <w:tr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南昌市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8,141.69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12.00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4.70%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3.2:41.5:55.3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537.77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</w:tr>
      <w:tr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赣州市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5,221.29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5.83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5.50%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9.6:36.4:54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333.89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895.62</w:t>
            </w:r>
          </w:p>
        </w:tc>
      </w:tr>
      <w:tr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九江市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4,246.50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5.20%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6.7:38.3:55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322.00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</w:tr>
      <w:tr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上饶市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3,935.90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6.24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5.60%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9.2:38.5:52.3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289.20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627.10</w:t>
            </w:r>
          </w:p>
        </w:tc>
      </w:tr>
      <w:tr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宜春市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3,930.24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8.09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5.60%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9.8:39:51.2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276.34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482.10</w:t>
            </w:r>
          </w:p>
        </w:tc>
      </w:tr>
      <w:tr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吉安市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3,105.70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7.20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5.70%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8.9:42:49.1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218.34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427.14</w:t>
            </w:r>
          </w:p>
        </w:tc>
      </w:tr>
      <w:tr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抚州市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2,298.11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6.49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5.90%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11.5:39.1:49.4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150.67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354.57</w:t>
            </w:r>
          </w:p>
        </w:tc>
      </w:tr>
      <w:tr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鹰潭市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1,459.41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12.74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6.20%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5.4:51.1:43.5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118.33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114.50</w:t>
            </w:r>
          </w:p>
        </w:tc>
      </w:tr>
      <w:tr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萍乡市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1,276.04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7.12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5.30%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6.3:37.7:56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231.27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178.63</w:t>
            </w:r>
          </w:p>
        </w:tc>
      </w:tr>
      <w:tr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新余市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1,215.58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10.20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5.80%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6.7:35.6:57.7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85.13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118.96</w:t>
            </w:r>
          </w:p>
        </w:tc>
      </w:tr>
      <w:tr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景德镇市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1,189.63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7.35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-0.70%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6.5:38.4:55.1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90.94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161.76</w:t>
            </w:r>
          </w:p>
        </w:tc>
      </w:tr>
    </w:tbl>
    <w:p>
      <w:pPr>
        <w:spacing w:before="0" w:after="80" w:line="360" w:lineRule="auto"/>
        <w:ind w:firstLine="0"/>
      </w:pPr>
      <w:r>
        <w:rPr>
          <w:rFonts w:ascii="Times New Roman" w:hAnsi="Times New Roman" w:eastAsia="楷体"/>
          <w:b w:val="0"/>
          <w:color w:val="000000"/>
          <w:sz w:val="19"/>
        </w:rPr>
        <w:t>资料来源：各市统计公报、企业预警通，风控信评部整理。注：部分城市人均GDP系按当年GDP与常住人口估算。</w:t>
      </w:r>
    </w:p>
    <w:p>
      <w:pPr>
        <w:spacing w:before="0" w:after="60" w:line="360" w:lineRule="auto"/>
        <w:ind w:firstLine="420"/>
      </w:pPr>
      <w:r>
        <w:rPr>
          <w:rFonts w:ascii="Times New Roman" w:hAnsi="Times New Roman" w:eastAsia="楷体"/>
          <w:b w:val="0"/>
          <w:color w:val="000000"/>
          <w:sz w:val="21"/>
        </w:rPr>
        <w:t>省内对比看，九江市2025年GDP总量4,246.50亿元、列全省第三位，一般公共预算收入322.00亿元、列全省第三位。整体来看，九江市经济基本面在江西省内具有一定代表性，但需关注固定资产投资走势及新旧动能转换的接续性。</w:t>
      </w:r>
    </w:p>
    <w:p>
      <w:pPr>
        <w:spacing w:before="120" w:after="60" w:line="360" w:lineRule="auto"/>
        <w:ind w:firstLine="0"/>
      </w:pPr>
      <w:r>
        <w:rPr>
          <w:rFonts w:ascii="Times New Roman" w:hAnsi="Times New Roman" w:eastAsia="楷体"/>
          <w:b/>
          <w:color w:val="000000"/>
          <w:sz w:val="21"/>
        </w:rPr>
        <w:t>■ 九江市财政体量在江西省位居前列，税收占比60.47%、税收质量较好，但政府性基金收入总体平稳；2025年末宽口径债务率652.93%、处于偏高水平，已显著高于公认的 300% 偏高临界线，后续偿债压力值得关注。</w:t>
      </w:r>
    </w:p>
    <w:p>
      <w:pPr>
        <w:spacing w:before="0" w:after="60" w:line="360" w:lineRule="auto"/>
        <w:ind w:firstLine="420"/>
      </w:pPr>
      <w:r>
        <w:rPr>
          <w:rFonts w:ascii="Times New Roman" w:hAnsi="Times New Roman" w:eastAsia="楷体"/>
          <w:b w:val="0"/>
          <w:color w:val="000000"/>
          <w:sz w:val="21"/>
        </w:rPr>
        <w:t>财政收入方面，2023、2024、2025年九江市一般公共预算收入分别为322.40亿元、326.00亿元、322.00亿元，其中税收收入185.85亿元、188.05亿元、194.70亿元，税收占比维持在57.64%、57.68%、60.47%；一般公共预算支出752.10亿元、705.60亿元、737.50亿元，财政自给率42.87%、46.20%、43.66%。</w:t>
      </w:r>
    </w:p>
    <w:p>
      <w:pPr>
        <w:spacing w:before="0" w:after="60" w:line="360" w:lineRule="auto"/>
        <w:ind w:firstLine="420"/>
      </w:pPr>
      <w:r>
        <w:rPr>
          <w:rFonts w:ascii="Times New Roman" w:hAnsi="Times New Roman" w:eastAsia="楷体"/>
          <w:b w:val="0"/>
          <w:color w:val="000000"/>
          <w:sz w:val="21"/>
        </w:rPr>
        <w:t>政府性基金收入方面，2023、2024、2025年分别为177.50亿元、155.30亿元、168.90亿元，政府性基金收入总体平稳，反映地方综合财力对房地产周期的敞口。</w:t>
      </w:r>
    </w:p>
    <w:p>
      <w:pPr>
        <w:spacing w:before="80" w:after="40" w:line="360" w:lineRule="auto"/>
        <w:ind w:firstLine="0"/>
        <w:jc w:val="center"/>
      </w:pPr>
      <w:r>
        <w:rPr>
          <w:rFonts w:ascii="Times New Roman" w:hAnsi="Times New Roman" w:eastAsia="楷体"/>
          <w:b/>
          <w:color w:val="000000"/>
          <w:sz w:val="21"/>
        </w:rPr>
        <w:t>图表：2023-2025年九江市财政收入情况(单位:亿元、%)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1344"/>
        <w:gridCol w:w="1344"/>
        <w:gridCol w:w="1344"/>
        <w:gridCol w:w="1344"/>
        <w:gridCol w:w="1344"/>
        <w:gridCol w:w="1344"/>
        <w:gridCol w:w="1344"/>
      </w:tblGrid>
      <w:tr>
        <w:tc>
          <w:tcPr>
            <w:tcW w:type="dxa" w:w="1344"/>
            <w:vAlign w:val="center"/>
            <w:shd w:val="clear" w:color="auto" w:fill="F1A983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/>
                <w:color w:val="000000"/>
                <w:sz w:val="18"/>
              </w:rPr>
              <w:t>项目</w:t>
            </w:r>
          </w:p>
        </w:tc>
        <w:tc>
          <w:tcPr>
            <w:tcW w:type="dxa" w:w="1344"/>
            <w:vAlign w:val="center"/>
            <w:shd w:val="clear" w:color="auto" w:fill="F1A983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/>
                <w:color w:val="000000"/>
                <w:sz w:val="18"/>
              </w:rPr>
              <w:t>2023年</w:t>
            </w:r>
          </w:p>
        </w:tc>
        <w:tc>
          <w:tcPr>
            <w:tcW w:type="dxa" w:w="1344"/>
            <w:vAlign w:val="center"/>
            <w:shd w:val="clear" w:color="auto" w:fill="F1A983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/>
                <w:color w:val="000000"/>
                <w:sz w:val="18"/>
              </w:rPr>
              <w:t>增速</w:t>
            </w:r>
          </w:p>
        </w:tc>
        <w:tc>
          <w:tcPr>
            <w:tcW w:type="dxa" w:w="1344"/>
            <w:vAlign w:val="center"/>
            <w:shd w:val="clear" w:color="auto" w:fill="F1A983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/>
                <w:color w:val="000000"/>
                <w:sz w:val="18"/>
              </w:rPr>
              <w:t>2024年</w:t>
            </w:r>
          </w:p>
        </w:tc>
        <w:tc>
          <w:tcPr>
            <w:tcW w:type="dxa" w:w="1344"/>
            <w:vAlign w:val="center"/>
            <w:shd w:val="clear" w:color="auto" w:fill="F1A983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/>
                <w:color w:val="000000"/>
                <w:sz w:val="18"/>
              </w:rPr>
              <w:t>增速</w:t>
            </w:r>
          </w:p>
        </w:tc>
        <w:tc>
          <w:tcPr>
            <w:tcW w:type="dxa" w:w="1344"/>
            <w:vAlign w:val="center"/>
            <w:shd w:val="clear" w:color="auto" w:fill="F1A983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/>
                <w:color w:val="000000"/>
                <w:sz w:val="18"/>
              </w:rPr>
              <w:t>2025年</w:t>
            </w:r>
          </w:p>
        </w:tc>
        <w:tc>
          <w:tcPr>
            <w:tcW w:type="dxa" w:w="1344"/>
            <w:vAlign w:val="center"/>
            <w:shd w:val="clear" w:color="auto" w:fill="F1A983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/>
                <w:color w:val="000000"/>
                <w:sz w:val="18"/>
              </w:rPr>
              <w:t>增速</w:t>
            </w:r>
          </w:p>
        </w:tc>
      </w:tr>
      <w:tr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一般公共预算收入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322.40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6.30%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326.00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1.12%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322.00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-1.23%</w:t>
            </w:r>
          </w:p>
        </w:tc>
      </w:tr>
      <w:tr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 xml:space="preserve">　其中:税收收入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185.85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188.05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1.18%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194.70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3.54%</w:t>
            </w:r>
          </w:p>
        </w:tc>
      </w:tr>
      <w:tr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税收占比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57.64%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57.68%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60.47%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</w:tr>
      <w:tr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一般公共预算支出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752.10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705.60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-6.18%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737.50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4.52%</w:t>
            </w:r>
          </w:p>
        </w:tc>
      </w:tr>
      <w:tr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财政自给率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42.87%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46.20%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43.66%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</w:tr>
      <w:tr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政府性基金收入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177.50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155.30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-12.51%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168.90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8.76%</w:t>
            </w:r>
          </w:p>
        </w:tc>
      </w:tr>
    </w:tbl>
    <w:p>
      <w:pPr>
        <w:spacing w:before="0" w:after="80" w:line="360" w:lineRule="auto"/>
        <w:ind w:firstLine="0"/>
      </w:pPr>
      <w:r>
        <w:rPr>
          <w:rFonts w:ascii="Times New Roman" w:hAnsi="Times New Roman" w:eastAsia="楷体"/>
          <w:b w:val="0"/>
          <w:color w:val="000000"/>
          <w:sz w:val="19"/>
        </w:rPr>
        <w:t>资料来源:九江市财政决算、企业预警通,风控信评部整理</w:t>
      </w:r>
    </w:p>
    <w:p>
      <w:pPr>
        <w:spacing w:before="0" w:after="60" w:line="360" w:lineRule="auto"/>
        <w:ind w:firstLine="420"/>
      </w:pPr>
      <w:r>
        <w:rPr>
          <w:rFonts w:ascii="Times New Roman" w:hAnsi="Times New Roman" w:eastAsia="楷体"/>
          <w:b w:val="0"/>
          <w:color w:val="000000"/>
          <w:sz w:val="21"/>
        </w:rPr>
        <w:t>土地市场方面，【待补充:九江市土地出让与房地产销售数据（土地市场数据库未覆盖该市）】。</w:t>
      </w:r>
    </w:p>
    <w:p>
      <w:pPr>
        <w:spacing w:before="0" w:after="60" w:line="360" w:lineRule="auto"/>
        <w:ind w:firstLine="420"/>
      </w:pPr>
      <w:r>
        <w:rPr>
          <w:rFonts w:ascii="Times New Roman" w:hAnsi="Times New Roman" w:eastAsia="楷体"/>
          <w:b w:val="0"/>
          <w:color w:val="000000"/>
          <w:sz w:val="21"/>
        </w:rPr>
        <w:t>政府债务方面，2023、2024、2025年末九江市地方政府债务余额分别为1,341.19亿元、1,610.91亿元、1,874.57亿元，2025年末债务限额1,989.29亿元，债务余额控制在限额以内；城投有息债务2025年末估算余额1,456.70亿元。债务率指标看，2025年末政府债务率367.42%、城投债务率285.52%、宽口径债务率652.93%。</w:t>
      </w:r>
    </w:p>
    <w:p>
      <w:pPr>
        <w:spacing w:before="0" w:after="60" w:line="360" w:lineRule="auto"/>
        <w:ind w:firstLine="420"/>
      </w:pPr>
      <w:r>
        <w:rPr>
          <w:rFonts w:ascii="Times New Roman" w:hAnsi="Times New Roman" w:eastAsia="楷体"/>
          <w:b w:val="0"/>
          <w:color w:val="000000"/>
          <w:sz w:val="21"/>
        </w:rPr>
        <w:t>综合来看，九江市财政基本盘较为扎实，但土地财政收缩与债务规模扩张是当前主要压力线；我们预计宽口径债务率短期内将维持偏高水平，需重点关注后续化债进展、土地市场企稳情况以及融资平台合规整改对城投再融资能力的影响。</w:t>
      </w:r>
    </w:p>
    <w:sectPr w:rsidR="00FC693F" w:rsidRPr="0006063C" w:rsidSect="00034616">
      <w:pgSz w:w="12240" w:h="15840"/>
      <w:pgMar w:top="1440" w:right="1417" w:bottom="1440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eastAsia="楷体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