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南昌市信用评级报告(区域部分)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昌经济总量在江西省稳居第一，人均GDP约12.00万元、人均经济实力居全省前列，经济增速由3.70%回升至4.70%、动能边际改善；固定资产投资连续负增长（最新-4.80%），经济动能仍有待修复。【待补充：南昌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南昌市2023、2024、2025年地区生产总值分别为7,437.85亿元、7,805.38亿元、8,141.69亿元，同比增长3.70%、4.90%、4.70%。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产业结构方面，2025年南昌市三次产业结构为3.2:41.5:55.3。【待补充：支柱产业、主要龙头企业、对外贸易等定性描述（数据库未覆盖）】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2023、2024、2025年固定资产投资增速分别为-7.80%、5.40%、-4.80%，2025年社会消费品零售总额2,921.78亿元，进出口总额159.60亿美元。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南昌市2025年GDP总量8,141.69亿元、列全省第一位，一般公共预算收入537.77亿元、列全省第一位。整体来看，南昌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南昌市财政体量在江西省稳居第一，税收占比60.50%、税收质量较好，但政府性基金收入较2023年累计下降41%、土地财政贡献度弱化；2025年末宽口径债务率428.94%、处于偏高水平，已显著高于公认的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南昌市一般公共预算收入分别为500.20亿元、526.20亿元、537.77亿元，其中税收收入330.10亿元、334.50亿元、325.35亿元，税收占比维持在65.99%、63.57%、60.50%；一般公共预算支出925.60亿元、940.10亿元、914.44亿元，财政自给率54.04%、55.97%、58.81%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政府性基金收入方面，2023、2024、2025年分别为270.80亿元、133.80亿元、160.20亿元，政府性基金收入较2023年累计下降41%、土地财政贡献度弱化，反映地方综合财力对房地产周期的敞口。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图表：2023-2025年南昌市财政收入情况(单位:亿元、%)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526.20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325.35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914.44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-2.73%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55.97%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270.80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-50.59%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19.73%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资料来源:南昌市财政决算、企业预警通,风控信评部整理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南昌市经营性用地成交价分别为226.33亿元、265.45亿元、221.13亿元、75.77亿元、103.05亿元，2025年较2021年下降54.47%；同期平均溢价率为14.74%、4.67%、4.51%、4.45%、4.84%；成交楼面均价由2,059元/㎡降至1,379元/㎡、累计下降33.03%。2026年1-4月，南昌市经营性用地累计成交46宗、规划建面149.77万㎡、成交价7.86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图表:2021-2025年南昌市土地出让情况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1,098.73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14.74%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226.33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1,455.26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1,819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265.45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1,351.17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221.13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653.30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75.77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746.27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1,379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103.05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149.77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南昌市商品住宅成交面积由358.10万㎡变动至187.72万㎡、累计下降47.6%；新房均价2025年为11,434元/㎡、较2021年高点(13,724元/㎡)累计下跌16.69%；2025年去化周期7.99个月。据中指冰山指数(最低挂牌价口径)，南昌二手房挂牌价较2019年6月高点累计下跌42.11%，2023年累计跌幅-8.88%、2024年累计跌幅-13.65%、2025年累计跌幅-18.29%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南昌市地方政府债务余额分别为1,678.60亿元、1,929.98亿元、2,200.07亿元，2025年末债务限额2,310.52亿元，债务余额控制在限额以内；城投有息债务2025年末估算余额3,701.77亿元。债务率指标看，2025年末政府债务率159.90%、城投债务率269.04%、宽口径债务率428.94%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南昌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