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宜春市信用评级报告(区域部分)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宜春经济总量列江西省第五位，人均GDP约8.09万元、人均经济实力居全省中游，经济增速由3.80%回升至5.60%、动能边际改善；固定资产投资最新增速4.10%，经济运行总体平稳。【待补充：宜春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宜春市2023、2024、2025年地区生产总值分别为3,517.78亿元、3,713.67亿元、3,930.24亿元，同比增长3.80%、6.10%、5.60%。截至2025年末，全市常住人口482.10万人，人均GDP约8.09万元。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产业结构方面，2025年宜春市三次产业结构为9.8:39:51.2。【待补充：支柱产业、主要龙头企业、对外贸易等定性描述（数据库未覆盖）】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2023、2024、2025年固定资产投资增速分别为-6.70%、5.60%、4.10%，2025年社会消费品零售总额987.10亿元，进出口总额29.98亿美元。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宜春市2025年GDP总量3,930.24亿元、列全省第五位，一般公共预算收入276.34亿元、列全省第五位。整体来看，宜春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宜春市财政体量在江西省处于中游，税收占比58.28%、税收占比处于一般水平，但政府性基金收入较2023年累计下降35%、土地财政贡献度弱化；2025年末宽口径债务率733.36%、处于偏高水平，已显著高于公认的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宜春市一般公共预算收入分别为290.02亿元、284.11亿元、276.34亿元，其中税收收入192.83亿元、162.17亿元、161.06亿元，税收占比维持在66.49%、57.08%、58.28%；一般公共预算支出719.08亿元、724.41亿元、706.85亿元，财政自给率40.33%、39.22%、39.09%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政府性基金收入方面，2023、2024、2025年分别为187.35亿元、162.02亿元、121.58亿元，政府性基金收入较2023年累计下降35%、土地财政贡献度弱化，反映地方综合财力对房地产周期的敞口。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图表：2023-2025年宜春市财政收入情况(单位:亿元、%)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290.02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284.11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706.85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-24.96%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资料来源:宜春市财政决算、企业预警通,风控信评部整理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土地市场方面，【待补充:宜春市土地出让与房地产销售数据（土地市场数据库未覆盖该市）】。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宜春市地方政府债务余额分别为1,083.38亿元、1,327.65亿元、1,566.97亿元，2025年末债务限额1,660.16亿元，债务余额控制在限额以内；城投有息债务2025年末估算余额1,690.19亿元。债务率指标看，2025年末政府债务率352.81%、城投债务率380.55%、宽口径债务率733.36%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宜春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