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景德镇市信用评级报告(区域部分)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景德镇经济总量列江西省第11位，人均GDP约7.35万元、人均经济实力居全省中游，经济增速由3.00%回落至-0.70%、有所放缓；固定资产投资连续负增长（最新-9.30%），经济动能仍有待修复。【待补充：景德镇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景德镇市2023、2024、2025年地区生产总值分别为1,140.69亿元、1,179.30亿元、1,189.63亿元，同比增长3.00%、4.10%、-0.70%。截至2025年末，全市常住人口161.76万人，人均GDP约7.35万元。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产业结构方面，2025年景德镇市三次产业结构为6.5:38.4:55.1。【待补充：支柱产业、主要龙头企业、对外贸易等定性描述（数据库未覆盖）】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2023、2024、2025年固定资产投资增速分别为-8.00%、4.20%、-9.30%，2025年社会消费品零售总额468.61亿元，进出口总额8.87亿美元。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图表：2025年江西省各地级市主要经济指标对比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8,141.69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3.2:41.5:55.3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537.77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赣州市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5,221.29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9.6:36.4:54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333.89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895.62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九江市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4,246.50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6.7:38.3:55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322.00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上饶市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3,935.90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9.2:38.5:52.3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627.10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宜春市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3,930.24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9.8:39:51.2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276.34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482.10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吉安市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3,105.70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8.9:42:49.1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218.34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427.14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抚州市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2,298.11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11.5:39.1:49.4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150.67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354.57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鹰潭市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1,459.41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5.4:51.1:43.5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114.50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萍乡市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1,276.04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6.3:37.7:56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231.27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178.63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新余市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1,215.58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6.7:35.6:57.7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118.96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景德镇市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1,189.63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6.5:38.4:55.1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161.76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景德镇市2025年GDP总量1,189.63亿元、列全省第11位，一般公共预算收入90.94亿元、列全省第十位。整体来看，景德镇市经济基本面在江西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景德镇市财政体量在江西省处于中游，税收占比59.39%、税收占比处于一般水平，但政府性基金收入较2023年累计下降19%、土地财政贡献度弱化；2025年末宽口径债务率887.27%、处于偏高水平，已显著高于公认的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景德镇市一般公共预算收入分别为90.30亿元、90.53亿元、90.94亿元，其中税收收入54.38亿元、53.51亿元、54.01亿元，税收占比维持在60.22%、59.11%、59.39%；一般公共预算支出239.95亿元、250.00亿元、234.95亿元，财政自给率37.63%、36.21%、38.70%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政府性基金收入方面，2023、2024、2025年分别为213.41亿元、209.50亿元、172.69亿元，政府性基金收入较2023年累计下降19%、土地财政贡献度弱化，反映地方综合财力对房地产周期的敞口。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图表：2023-2025年景德镇市财政收入情况(单位:亿元、%)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0.45%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60.22%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59.11%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59.39%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239.95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234.95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-6.02%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37.63%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36.21%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213.41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209.50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-1.83%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172.69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-17.57%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资料来源:景德镇市财政决算、企业预警通,风控信评部整理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土地市场方面，【待补充:景德镇市土地出让与房地产销售数据（土地市场数据库未覆盖该市）】。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景德镇市地方政府债务余额分别为613.71亿元、710.12亿元、858.82亿元，2025年末债务限额896.89亿元，债务余额控制在限额以内；城投有息债务2025年末估算余额1,587.63亿元。债务率指标看，2025年末政府债务率311.48%、城投债务率575.80%、宽口径债务率887.27%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景德镇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