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萍乡市信用评级报告(区域部分)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萍乡经济总量列江西省第九位，人均GDP约7.12万元、人均经济实力在省内相对靠后，经济增速由3.10%回升至5.30%、动能边际改善；固定资产投资最新增速3.10%，经济运行总体平稳。【待补充：萍乡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萍乡市2023、2024、2025年地区生产总值分别为1,165.98亿元、1,212.41亿元、1,276.04亿元，同比增长3.10%、4.60%、5.30%。截至2025年末，全市常住人口178.63万人，人均GDP约7.12万元。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产业结构方面，2025年萍乡市三次产业结构为6.3:37.7:56。【待补充：支柱产业、主要龙头企业、对外贸易等定性描述（数据库未覆盖）】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2023、2024、2025年固定资产投资增速分别为-7.50%、3.40%、3.10%，2025年社会消费品零售总额537.89亿元，进出口总额8.86亿美元。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萍乡市2025年GDP总量1,276.04亿元、列全省第九位，一般公共预算收入231.27亿元、列全省第六位。整体来看，萍乡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萍乡市财政体量在江西省处于中游，税收占比62.14%、税收质量较好，但政府性基金收入较2023年累计下降42%、土地财政贡献度弱化；2025年末宽口径债务率312.83%、处于偏高水平，已显著高于公认的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萍乡市一般公共预算收入分别为112.20亿元、115.36亿元、231.27亿元，其中税收收入71.21亿元、71.92亿元、143.70亿元，税收占比维持在63.47%、62.34%、62.14%；一般公共预算支出325.67亿元、339.53亿元、334.77亿元，财政自给率34.45%、33.98%、69.08%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政府性基金收入方面，2023、2024、2025年分别为151.98亿元、134.23亿元、87.65亿元，政府性基金收入较2023年累计下降42%、土地财政贡献度弱化，反映地方综合财力对房地产周期的敞口。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图表：2023-2025年萍乡市财政收入情况(单位:亿元、%)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-34.70%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资料来源:萍乡市财政决算、企业预警通,风控信评部整理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土地市场方面，【待补充:萍乡市土地出让与房地产销售数据（土地市场数据库未覆盖该市）】。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萍乡市地方政府债务余额分别为572.89亿元、694.00亿元、813.48亿元，2025年末债务限额851.17亿元，债务余额控制在限额以内；城投有息债务2025年末估算余额1,290.50亿元。债务率指标看，2025年末政府债务率120.95%、城投债务率191.88%、宽口径债务率312.83%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萍乡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