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鹰潭市信用评级报告(区域部分)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鹰潭经济总量列江西省第八位，人均GDP约12.74万元、人均经济实力居全省前列，经济增速由7.10%回落至6.20%、有所放缓；固定资产投资最新增速4.40%，经济运行总体平稳。【待补充：鹰潭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鹰潭市2023、2024、2025年地区生产总值分别为1,301.88亿元、1,385.44亿元、1,459.41亿元，同比增长7.10%、7.30%、6.20%。截至2025年末，全市常住人口114.50万人，人均GDP约12.74万元。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产业结构方面，2025年鹰潭市三次产业结构为5.4:51.1:43.5。【待补充：支柱产业、主要龙头企业、对外贸易等定性描述（数据库未覆盖）】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2023、2024、2025年固定资产投资增速分别为5.10%、5.70%、4.40%，2025年社会消费品零售总额367.07亿元，进出口总额74.65亿美元。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鹰潭市2025年GDP总量1,459.41亿元、列全省第八位，一般公共预算收入118.33亿元、列全省第九位。整体来看，鹰潭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鹰潭市财政体量在江西省处于中游，税收占比77.68%、税收质量较好，但政府性基金收入总体平稳；2025年末宽口径债务率701.04%、处于偏高水平，已显著高于公认的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鹰潭市一般公共预算收入分别为108.56亿元、113.83亿元、118.33亿元，其中税收收入80.27亿元、84.61亿元、91.93亿元，税收占比维持在73.94%、74.33%、77.68%；一般公共预算支出249.81亿元、242.04亿元、235.24亿元，财政自给率43.46%、47.03%、50.30%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政府性基金收入方面，2023、2024、2025年分别为66.89亿元、61.91亿元、66.93亿元，政府性基金收入总体平稳，反映地方综合财力对房地产周期的敞口。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图表：2023-2025年鹰潭市财政收入情况(单位:亿元、%)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242.04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资料来源:鹰潭市财政决算、企业预警通,风控信评部整理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土地市场方面，【待补充:鹰潭市土地出让与房地产销售数据（土地市场数据库未覆盖该市）】。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鹰潭市地方政府债务余额分别为456.88亿元、529.85亿元、597.80亿元，2025年末债务限额618.84亿元，债务余额控制在限额以内；城投有息债务2025年末估算余额874.05亿元。债务率指标看，2025年末政府债务率284.73%、城投债务率416.31%、宽口径债务率701.04%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鹰潭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