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保定市信用评级报告(区域部分)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保定经济总量列河北省第三位，人均GDP约—万元、人均经济实力居省内中游，经济增速维持在6.00%左右、总体平稳；固定资产投资最新增速转负（-25.20%），经济动能仍有待修复。【待补充：保定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保定市2023、2024、2025年地区生产总值分别为4,580.30亿元、4,773.30亿元、5,002.50亿元，同比增长6.18%、5.90%、6.00%。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产业结构方面，2025年保定市三次产业结构为10.7:33:56.3。【待补充：支柱产业、主要龙头企业、对外贸易等定性描述（数据库未覆盖）】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2023、2024、2025年固定资产投资增速分别为11.00%、10.60%、-25.20%，2025年社会消费品零售总额1,705.90亿元，进出口总额118.59亿美元。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保定市2025年GDP总量5,002.50亿元、列全省第三位，一般公共预算收入327.06亿元、列全省第五位。整体来看，保定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保定市财政体量在河北省处于中游，税收占比53.83%、税收占比处于一般水平，但政府性基金收入较2023年累计下降60%、土地财政贡献度弱化；2025年末宽口径债务率682.75%、处于偏高水平，已显著高于公认的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保定市一般公共预算收入分别为342.80亿元、356.20亿元、327.06亿元，其中税收收入165.64亿元、170.73亿元、176.04亿元，税收占比维持在48.32%、47.93%、53.83%；一般公共预算支出876.50亿元、1,194.23亿元、995.77亿元，财政自给率39.11%、29.83%、32.84%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政府性基金收入方面，2023、2024、2025年分别为265.94亿元、195.66亿元、106.98亿元，政府性基金收入较2023年累计下降60%、土地财政贡献度弱化，反映地方综合财力对房地产周期的敞口。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图表：2023-2025年保定市财政收入情况(单位:亿元、%)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-8.18%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995.77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-16.62%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265.94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-26.43%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-45.32%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资料来源:保定市财政决算、企业预警通,风控信评部整理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土地市场方面，【待补充:保定市土地出让与房地产销售数据（土地市场数据库未覆盖该市）】。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保定市地方政府债务余额分别为1,749.34亿元、2,001.23亿元、2,282.38亿元，2025年末债务限额2,303.87亿元，债务余额控制在限额以内；城投有息债务2025年末估算余额682.04亿元。债务率指标看，2025年末政府债务率525.66%、城投债务率157.08%、宽口径债务率682.75%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保定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