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唐山市信用评级报告(区域部分)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唐山经济总量在河北省稳居第一，人均GDP约—万元、人均经济实力居省内中游，经济增速维持在6.20%左右、总体平稳；固定资产投资最新增速7.20%，经济运行总体平稳。【待补充：唐山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唐山市2023、2024、2025年地区生产总值分别为9,546.00亿元、10,003.90亿元、10,450.20亿元，同比增长6.10%、5.60%、6.20%。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产业结构方面，2025年唐山市三次产业结构为6.4:49.1:44.5。【待补充：支柱产业、主要龙头企业、对外贸易等定性描述（数据库未覆盖）】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2023、2024、2025年固定资产投资增速分别为4.00%、-13.50%、7.20%，2025年社会消费品零售总额2,420.90亿元，进出口总额191.44亿美元。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唐山市2025年GDP总量10,450.20亿元、列全省第一位，一般公共预算收入588.20亿元、列全省第二位。整体来看，唐山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唐山市财政体量在河北省位居前列，税收占比51.73%、税收占比处于一般水平，但政府性基金收入总体平稳；2025年末宽口径债务率574.89%、处于偏高水平，已显著高于公认的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唐山市一般公共预算收入分别为581.43亿元、577.99亿元、588.20亿元，其中税收收入303.64亿元、292.49亿元、304.30亿元，税收占比维持在52.22%、50.60%、51.73%；一般公共预算支出1,001.53亿元、1,029.71亿元、1,082.75亿元，财政自给率58.05%、56.13%、54.32%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政府性基金收入方面，2023、2024、2025年分别为311.21亿元、309.84亿元、299.63亿元，政府性基金收入总体平稳，反映地方综合财力对房地产周期的敞口。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图表：2023-2025年唐山市财政收入情况(单位:亿元、%)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581.43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577.99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1,029.71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1,082.75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-3.30%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资料来源:唐山市财政决算、企业预警通,风控信评部整理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唐山市经营性用地成交价分别为219.82亿元、163.33亿元、235.37亿元、253.72亿元、197.92亿元，2025年较2021年下降9.96%；同期平均溢价率为4.77%、2.41%、2.70%、1.38%、0.81%；成交楼面均价由826元/㎡降至815元/㎡、累计下降1.33%。2026年1-4月，唐山市经营性用地累计成交54宗、规划建面160.51万㎡、成交价12.67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图表:2021-2025年唐山市土地出让情况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2,645.77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219.82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2,429.00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163.33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2,866.25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235.37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3,657.05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253.72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2,051.75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197.92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160.51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从房地产销售看，2021-2025年唐山市商品住宅成交面积由564.16万㎡变动至268.55万㎡、累计下降52.4%；新房均价2025年为8,456元/㎡、较2023年高点(9,574元/㎡)累计下跌11.68%；2025年去化周期52.44个月。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唐山市地方政府债务余额分别为2,607.48亿元、2,832.01亿元、3,127.72亿元，2025年末债务限额3,212.86亿元，债务余额控制在限额以内；城投有息债务2025年末估算余额1,992.11亿元。债务率指标看，2025年末政府债务率351.20%、城投债务率223.69%、宽口径债务率574.89%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唐山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