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廊坊市信用评级报告(区域部分)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廊坊经济总量列河北省第六位，人均GDP约—万元、人均经济实力居省内中游，经济增速由3.90%回升至5.80%、动能边际改善；固定资产投资最新增速转负（-7.20%），经济动能仍有待修复。【待补充：廊坊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廊坊市2023、2024、2025年地区生产总值分别为3,734.10亿元、3,904.60亿元、4,040.50亿元，同比增长3.90%、5.80%、5.80%。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产业结构方面，2025年廊坊市三次产业结构为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2023、2024、2025年固定资产投资增速分别为6.50%、8.30%、-7.20%，2025年社会消费品零售总额1,558.70亿元，进出口总额95.81亿美元。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廊坊市2025年GDP总量4,040.50亿元、列全省第六位，一般公共预算收入311.80亿元、列全省第六位。整体来看，廊坊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廊坊市财政体量在河北省处于中游，税收占比60.68%、税收质量较好，但政府性基金收入较2023年累计下降36%、土地财政贡献度弱化；2025年末宽口径债务率413.96%、处于偏高水平，已显著高于公认的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廊坊市一般公共预算收入分别为320.22亿元、306.28亿元、311.80亿元，其中税收收入198.63亿元、189.14亿元、189.20亿元，税收占比维持在62.03%、61.75%、60.68%；一般公共预算支出595.46亿元、702.30亿元、618.70亿元，财政自给率53.78%、43.61%、50.40%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政府性基金收入方面，2023、2024、2025年分别为135.63亿元、82.82亿元、86.80亿元，政府性基金收入较2023年累计下降36%、土地财政贡献度弱化，反映地方综合财力对房地产周期的敞口。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图表：2023-2025年廊坊市财政收入情况(单位:亿元、%)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189.14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-11.90%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-38.94%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资料来源:廊坊市财政决算、企业预警通,风控信评部整理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土地市场方面，【待补充:廊坊市土地出让与房地产销售数据（土地市场数据库未覆盖该市）】。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廊坊市地方政府债务余额分别为1,116.92亿元、1,247.98亿元、1,460.06亿元，2025年末债务限额1,491.61亿元，债务余额控制在限额以内；城投有息债务2025年末估算余额191.11亿元。债务率指标看，2025年末政府债务率366.05%、城投债务率47.91%、宽口径债务率413.96%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廊坊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