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张家口市信用评级报告(区域部分)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张家口经济总量列河北省第11位，人均GDP约—万元、人均经济实力居省内中游，经济增速维持在5.10%左右、总体平稳；固定资产投资最新增速15.30%，经济运行总体平稳。【待补充：张家口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张家口市2023、2024、2025年地区生产总值分别为1,859.20亿元、1,913.30亿元、1,970.70亿元，同比增长5.10%、4.60%、5.10%。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产业结构方面，2025年张家口市三次产业结构为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2023、2024、2025年固定资产投资增速分别为4.00%、17.20%、15.30%。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10,450.20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6.4:49.1:44.5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石家庄市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5,002.50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10.7:33:56.3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邯郸市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386.37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廊坊市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4,040.50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邢台市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秦皇岛市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2,011.80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12.8:32.7:54.5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承德市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张家口市2025年GDP总量1,970.70亿元、列全省第11位，一般公共预算收入193.38亿元、列全省第八位。整体来看，张家口市经济基本面在河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张家口市财政体量在河北省处于中游，税收占比53.02%、税收占比处于一般水平，但政府性基金收入较2023年累计增长11%；2025年末宽口径债务率670.08%、处于偏高水平，已显著高于公认的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张家口市一般公共预算收入分别为180.37亿元、188.86亿元、193.38亿元，其中税收收入83.56亿元、94.55亿元、102.52亿元，税收占比维持在46.33%、50.06%、53.02%；一般公共预算支出694.00亿元、665.56亿元、711.50亿元，财政自给率25.99%、28.38%、27.18%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政府性基金收入方面，2023、2024、2025年分别为131.95亿元、127.42亿元、146.23亿元，政府性基金收入较2023年累计增长11%，反映地方综合财力对房地产周期的敞口。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图表：2023-2025年张家口市财政收入情况(单位:亿元、%)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188.86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694.00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资料来源:张家口市财政决算、企业预警通,风控信评部整理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土地市场方面，【待补充:张家口市土地出让与房地产销售数据（土地市场数据库未覆盖该市）】。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张家口市地方政府债务余额分别为1,333.88亿元、1,547.17亿元、1,895.29亿元，2025年末债务限额1,922.08亿元，债务余额控制在限额以内；城投有息债务2025年末估算余额382.06亿元。债务率指标看，2025年末政府债务率557.67%、城投债务率112.42%、宽口径债务率670.08%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张家口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