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承德市信用评级报告(区域部分)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承德经济总量列河北省第十位，人均GDP约—万元、人均经济实力居省内中游，经济增速维持在5.80%左右、总体平稳；固定资产投资最新增速13.70%，经济运行总体平稳。【待补充：承德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承德市2023、2024、2025年地区生产总值分别为1,851.67亿元、1,943.00亿元、2,001.70亿元，同比增长5.55%、5.90%、5.80%。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产业结构方面，2025年承德市三次产业结构为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2023、2024年固定资产投资增速分别为6.40%、13.70%，2025年社会消费品零售总额574.40亿元。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10,450.20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6.4:49.1:44.5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588.20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石家庄市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8,651.70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保定市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5,002.50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10.7:33:56.3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邯郸市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4,920.10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386.37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廊坊市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4,040.50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邢台市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2,800.00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秦皇岛市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2,200.40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174.70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2,011.80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12.8:32.7:54.5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承德市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承德市2025年GDP总量2,001.70亿元、列全省第十位，一般公共预算收入144.82亿元、列全省第11位。整体来看，承德市经济基本面在河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承德市财政体量在河北省处于中游，税收占比58.62%、税收占比处于一般水平，但政府性基金收入较2023年累计下降51%、土地财政贡献度弱化；2025年末宽口径债务率651.16%、处于偏高水平，已显著高于公认的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承德市一般公共预算收入分别为133.96亿元、140.61亿元、144.82亿元，其中税收收入76.60亿元、84.46亿元、84.89亿元，税收占比维持在57.18%、60.07%、58.62%；一般公共预算支出469.61亿元、490.82亿元、515.62亿元，财政自给率28.53%、28.65%、28.09%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政府性基金收入方面，2023、2024、2025年分别为55.52亿元、46.49亿元、27.20亿元，政府性基金收入较2023年累计下降51%、土地财政贡献度弱化，反映地方综合财力对房地产周期的敞口。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图表：2023-2025年承德市财政收入情况(单位:亿元、%)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140.61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0.51%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57.18%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58.62%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469.61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490.82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28.53%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-16.26%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-41.49%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资料来源:承德市财政决算、企业预警通,风控信评部整理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土地市场方面，【待补充:承德市土地出让与房地产销售数据（土地市场数据库未覆盖该市）】。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承德市地方政府债务余额分别为763.08亿元、878.74亿元、1,020.18亿元，2025年末债务限额1,051.68亿元，债务余额控制在限额以内；城投有息债务2025年末估算余额151.90亿元。债务率指标看，2025年末政府债务率566.77%、城投债务率84.39%、宽口径债务率651.16%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承德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