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石家庄市信用评级报告(区域部分)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石家庄经济总量列河北省第二位，人均GDP约—万元、人均经济实力居省内中游，经济增速维持在6.00%左右、总体平稳；固定资产投资最新增速12.40%，经济运行总体平稳。【待补充：石家庄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石家庄市2023、2024、2025年地区生产总值分别为7,846.20亿元、8,203.40亿元、8,651.70亿元，同比增长6.30%、5.50%、6.00%。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产业结构方面，2025年石家庄市三次产业结构为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2023、2024、2025年固定资产投资增速分别为7.60%、9.30%、12.40%，2025年社会消费品零售总额2,787.50亿元，进出口总额193.38亿美元。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图表：2025年河北省各地级市主要经济指标对比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唐山市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10,450.20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6.4:49.1:44.5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588.20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石家庄市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8,651.70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保定市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5,002.50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10.7:33:56.3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327.06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沧州市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4,930.90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353.17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邯郸市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4,920.10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386.37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廊坊市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4,040.50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邢台市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2,800.00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秦皇岛市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2,200.40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174.70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衡水市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2,011.80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12.8:32.7:54.5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承德市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张家口市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1,970.70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石家庄市2025年GDP总量8,651.70亿元、列全省第二位，一般公共预算收入727.50亿元、列全省第一位。整体来看，石家庄市经济基本面在河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石家庄市财政体量在河北省稳居第一，税收占比56.09%、税收占比处于一般水平，但政府性基金收入较2023年累计下降20%、土地财政贡献度弱化；2025年末宽口径债务率530.86%、处于偏高水平，已显著高于公认的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石家庄市一般公共预算收入分别为737.89亿元、746.10亿元、727.50亿元，其中税收收入432.73亿元、397.12亿元、408.09亿元，税收占比维持在58.64%、53.23%、56.09%；一般公共预算支出1,274.83亿元、1,200.04亿元、1,248.40亿元，财政自给率57.88%、62.17%、58.27%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政府性基金收入方面，2023、2024、2025年分别为465.08亿元、379.20亿元、372.65亿元，政府性基金收入较2023年累计下降20%、土地财政贡献度弱化，反映地方综合财力对房地产周期的敞口。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图表：2023-2025年石家庄市财政收入情况(单位:亿元、%)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737.89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-2.49%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432.73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397.12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408.09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2.76%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58.64%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1,274.83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1,200.04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1,248.40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57.88%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465.08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-18.47%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372.65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-1.73%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资料来源:石家庄市财政决算、企业预警通,风控信评部整理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石家庄市经营性用地成交价分别为355.15亿元、286.56亿元、475.71亿元、358.90亿元、441.04亿元，2025年较2021年变动24.18%；同期平均溢价率为3.36%、2.10%、1.10%、2.58%、0.58%；成交楼面均价为1,694元/㎡。2026年1-4月，石家庄市经营性用地累计成交124宗、规划建面463.63万㎡、成交价66.89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图表:2021-2025年石家庄市土地出让情况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2,725.41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1,302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3.36%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355.15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2,913.70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2.10%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286.56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3,845.30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1,237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1.10%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475.71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2,866.99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1,251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2.58%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358.90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2,585.36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1,694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0.58%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441.04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463.63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66.89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石家庄市商品住宅成交面积由419.16万㎡变动至289.80万㎡、累计下降30.9%；新房均价2025年为15,154元/㎡、较2024年高点(15,599元/㎡)累计下跌2.85%；2025年去化周期17.25个月。据中指冰山指数(最低挂牌价口径)，石家庄二手房挂牌价较2018年4月高点累计下跌46.02%，2023年累计跌幅-6.82%、2024年累计跌幅-7.42%、2025年累计跌幅-15.10%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石家庄市地方政府债务余额分别为2,307.86亿元、2,510.36亿元、2,798.22亿元，2025年末债务限额2,879.71亿元，债务余额控制在限额以内；城投有息债务2025年末估算余额3,042.07亿元。债务率指标看，2025年末政府债务率254.35%、城投债务率276.51%、宽口径债务率530.86%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石家庄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