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金昌市信用评级报告(区域部分)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金昌经济总量列甘肃省第11位，人均GDP约15.70万元、人均经济实力居全省前列，经济增速由11.50%回落至9.30%、有所放缓；固定资产投资最新增速8.50%，经济运行总体平稳。【待补充：金昌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金昌市2023、2024、2025年地区生产总值分别为532.26亿元、617.49亿元、670.24亿元，同比增长11.50%、13.50%、9.30%。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产业结构方面，2025年金昌市三次产业结构为5.5:68.4:26.1。【待补充：支柱产业、主要龙头企业、对外贸易等定性描述（数据库未覆盖）】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2023、2024、2025年固定资产投资增速分别为24.21%、7.44%、8.50%，2025年社会消费品零售总额98.77亿元，进出口总额40.85亿美元。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图表：2025年甘肃省各地级市主要经济指标对比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1.93:32.51:65.56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庆阳市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1,235.32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12.03:49.09:38.88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酒泉市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14.6:45.4:40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天水市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980.88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18.4:20.6:61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802.27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定西市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白银市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789.23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17.36:37.76:44.88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23.3:29.2:47.5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734.35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25.1:20.3:54.6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陇南市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金昌市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5.5:68.4:26.1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临夏回族自治州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17.6:20.6:61.8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嘉峪关市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18.05:16.45:65.5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金昌市2025年GDP总量670.24亿元、列全省第11位，一般公共预算收入37.02亿元、列全省第八位。整体来看，金昌市经济基本面在甘肃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金昌市财政体量在甘肃省处于中游，税收占比78.11%、税收质量较好，但政府性基金收入总体平稳；2025年末宽口径债务率456.25%、处于偏高水平，已显著高于公认的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金昌市一般公共预算收入分别为31.01亿元、33.18亿元、37.02亿元，其中税收收入24.60亿元、26.65亿元、28.92亿元，税收占比维持在79.33%、80.30%、78.11%；一般公共预算支出85.63亿元、97.59亿元、92.00亿元，财政自给率36.22%、34.00%、40.24%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政府性基金收入方面，2023、2024、2025年分别为4.45亿元、6.90亿元、4.09亿元，政府性基金收入总体平稳，反映地方综合财力对房地产周期的敞口。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图表：2023-2025年金昌市财政收入情况(单位:亿元、%)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-5.73%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-40.72%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资料来源:金昌市财政决算、企业预警通,风控信评部整理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土地市场方面，【待补充:金昌市土地出让与房地产销售数据（土地市场数据库未覆盖该市）】。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金昌市地方政府债务余额分别为116.78亿元、128.28亿元、147.14亿元，2025年末债务限额151.28亿元，债务余额控制在限额以内；城投有息债务2025年末估算余额40.52亿元。债务率指标看，2025年末政府债务率357.75%、城投债务率98.51%、宽口径债务率456.25%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金昌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