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厦门市信用评级报告(区域部分)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厦门经济总量列福建省第三位，人均GDP约16.74万元、人均经济实力居全省前列，经济增速由3.10%回升至5.70%、动能边际改善；固定资产投资连续负增长（最新-9.00%），经济动能仍有待修复。【待补充：厦门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厦门市2023、2024、2025年地区生产总值分别为8,142.93亿元、8,589.01亿元、8,980.37亿元，同比增长3.10%、5.46%、5.70%。截至2025年末，全市常住人口536.50万人，人均GDP约16.74万元（按当年GDP与常住人口估算）。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产业结构方面，2025年厦门市三次产业结构为0.3:37.8:61.9。【待补充：支柱产业、主要龙头企业、对外贸易等定性描述（数据库未覆盖）】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2023、2024、2025年固定资产投资增速分别为0.50%、-5.70%、-9.00%，2025年社会消费品零售总额3,448.60亿元，进出口总额1,344.02亿美元。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图表：2025年福建省各地级市主要经济指标对比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15,112.32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5:36:59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750.55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泉州市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13,778.34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2:50.5:47.5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厦门市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8,980.37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0.3:37.8:61.9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536.50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6,154.12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9.9:43.8:46.3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宁德市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4,251.72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10.1:54.6:35.2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317.30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莆田市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3,579.52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4.4:45:50.6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龙岩市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3,578.55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9:41.3:49.7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266.80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2,511.98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18.4:32.4:49.2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厦门市2025年GDP总量8,980.37亿元、列全省第三位，一般公共预算收入961.08亿元、列全省第一位。整体来看，厦门市经济基本面在福建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厦门市财政体量在福建省稳居第一，税收占比70.29%、税收质量较好，但政府性基金收入较2023年累计下降53%、土地财政贡献度弱化；2025年末宽口径债务率437.72%、处于偏高水平，已显著高于公认的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厦门市一般公共预算收入分别为932.14亿元、933.35亿元、961.08亿元，其中税收收入665.07亿元、653.89亿元、675.52亿元，税收占比维持在71.35%、70.06%、70.29%；一般公共预算支出1,084.65亿元、1,059.20亿元、1,076.56亿元，财政自给率85.94%、88.12%、89.27%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政府性基金收入方面，2023、2024、2025年分别为675.59亿元、423.68亿元、317.77亿元，政府性基金收入较2023年累计下降53%、土地财政贡献度弱化，反映地方综合财力对房地产周期的敞口。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图表：2023-2025年厦门市财政收入情况(单位:亿元、%)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933.35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665.07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653.89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675.52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1,084.65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1,076.56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85.94%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423.68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-37.29%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-25.00%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资料来源:厦门市财政决算、企业预警通,风控信评部整理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厦门市经营性用地成交价分别为820.43亿元、654.49亿元、433.89亿元、329.89亿元、364.69亿元，2025年较2021年下降55.55%；同期平均溢价率为17.26%、2.60%、5.15%、2.98%、1.81%；成交楼面均价由11,585元/㎡降至2,998元/㎡、累计下降74.12%。2026年1-4月，厦门市经营性用地累计成交26宗、规划建面253.47万㎡、成交价46.71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图表:2021-2025年厦门市土地出让情况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708.19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11,585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17.26%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820.43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1,567.78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4,175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2.60%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654.49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1,177.89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3,684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5.15%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433.89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975.45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329.89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1,216.37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1.81%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364.69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253.47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46.71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厦门市商品住宅成交面积由361.85万㎡变动至141.20万㎡、累计下降61.0%；新房均价2025年为34,103元/㎡、较2023年高点(43,794元/㎡)累计下跌22.13%；2025年去化周期26.41个月。据中指冰山指数(最低挂牌价口径)，厦门二手房挂牌价较2022年8月高点累计下跌45.03%，2023年累计跌幅-9.48%、2024年累计跌幅-16.43%、2025年累计跌幅-21.88%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厦门市地方政府债务余额分别为2,120.76亿元、2,639.68亿元、3,197.69亿元，2025年末债务限额3,270.10亿元，债务余额控制在限额以内；城投有息债务2025年末估算余额2,440.37亿元。债务率指标看，2025年末政府债务率248.26%、城投债务率189.46%、宽口径债务率437.72%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厦门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