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泉州市信用评级报告(区域部分)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泉州经济总量列福建省第二位，人均GDP约15.00万元、人均经济实力居全省前列，经济增速由4.78%回升至5.30%、动能边际改善；固定资产投资最新增速1.10%，经济运行总体平稳。【待补充：泉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泉州市2023、2024、2025年地区生产总值分别为12,259.01亿元、13,094.87亿元、13,778.34亿元，同比增长4.78%、6.47%、5.30%。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产业结构方面，2025年泉州市三次产业结构为2:50.5:47.5。【待补充：支柱产业、主要龙头企业、对外贸易等定性描述（数据库未覆盖）】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2023、2024、2025年固定资产投资增速分别为11.50%、7.00%、1.10%，2025年社会消费品零售总额6,416.07亿元，进出口总额330.93亿美元。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图表：2025年福建省各地级市主要经济指标对比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15,112.32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5:36:59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泉州市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13,778.34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2:50.5:47.5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厦门市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8,980.37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0.3:37.8:61.9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6,154.12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9.9:43.8:46.3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4,251.72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10.1:54.6:35.2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317.30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莆田市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3,579.52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4.4:45:50.6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龙岩市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3,578.55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9:41.3:49.7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266.80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2,511.98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18.4:32.4:49.2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泉州市2025年GDP总量13,778.34亿元、列全省第二位，一般公共预算收入592.07亿元、列全省第三位。整体来看，泉州市经济基本面在福建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泉州市财政体量在福建省位居前列，税收占比63.64%、税收质量较好，但政府性基金收入较2023年累计下降21%、土地财政贡献度弱化；2025年末宽口径债务率838.20%、处于偏高水平，已显著高于公认的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泉州市一般公共预算收入分别为580.79亿元、572.80亿元、592.07亿元，其中税收收入389.46亿元、371.48亿元、376.77亿元，税收占比维持在67.06%、64.85%、63.64%；一般公共预算支出850.27亿元、841.76亿元、882.13亿元，财政自给率68.31%、68.05%、67.12%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政府性基金收入方面，2023、2024、2025年分别为370.71亿元、318.47亿元、292.07亿元，政府性基金收入较2023年累计下降21%、土地财政贡献度弱化，反映地方综合财力对房地产周期的敞口。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图表：2023-2025年泉州市财政收入情况(单位:亿元、%)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580.79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-8.29%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资料来源:泉州市财政决算、企业预警通,风控信评部整理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泉州市经营性用地成交价分别为380.60亿元、374.32亿元、286.67亿元、305.92亿元、283.71亿元，2025年较2021年下降25.46%；同期平均溢价率为20.44%、4.11%、7.78%、1.71%、2.73%；成交楼面均价由1,418元/㎡降至1,221元/㎡、累计下降13.89%。2026年1-4月，泉州市经营性用地累计成交94宗、规划建面550.66万㎡、成交价30.59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图表:2021-2025年泉州市土地出让情况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2,683.55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20.44%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380.60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3,055.56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4.11%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374.32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2,349.78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286.67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2,358.96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1.71%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305.92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2,321.90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283.71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550.66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30.59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泉州市商品住宅成交面积由863.79万㎡变动至64.40万㎡、累计下降92.5%；新房均价2025年为13,950元/㎡。据中指冰山指数(最低挂牌价口径)，泉州二手房挂牌价较2022年8月高点累计下跌32.40%，2023年累计跌幅-6.32%、2024年累计跌幅-12.22%、2025年累计跌幅-13.99%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泉州市地方政府债务余额分别为2,342.54亿元、2,661.15亿元、2,938.77亿元，2025年末债务限额3,010.98亿元，债务余额控制在限额以内；城投有息债务2025年末估算余额4,573.09亿元。债务率指标看，2025年末政府债务率327.92%、城投债务率510.28%、宽口径债务率838.20%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泉州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