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福州市信用评级报告(区域部分)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福州经济总量在福建省稳居第一，人均GDP约17.60万元、人均经济实力居全省前列，经济增速维持在5.60%左右、总体平稳；固定资产投资最新增速0.00%，经济运行总体平稳。【待补充：福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福州市2023、2024、2025年地区生产总值分别为13,426.89亿元、14,236.76亿元、15,112.32亿元，同比增长5.40%、6.10%、5.60%。截至2025年末，全市常住人口852.10万人，人均GDP约17.60万元。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产业结构方面，2025年福州市三次产业结构为5:36:59。【待补充：支柱产业、主要龙头企业、对外贸易等定性描述（数据库未覆盖）】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2023、2024、2025年固定资产投资增速分别为3.20%、6.60%、0.00%，2025年社会消费品零售总额5,969.10亿元，进出口总额373.00亿美元。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福州市2025年GDP总量15,112.32亿元、列全省第一位，一般公共预算收入750.55亿元、列全省第二位。整体来看，福州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福州市财政体量在福建省位居前列，税收占比61.68%、税收质量较好，但政府性基金收入总体平稳；2025年末宽口径债务率429.09%、处于偏高水平，已显著高于公认的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福州市一般公共预算收入分别为754.08亿元、750.50亿元、750.55亿元，其中税收收入486.51亿元、474.31亿元、462.97亿元，税收占比维持在64.52%、63.20%、61.68%；一般公共预算支出1,004.90亿元、1,025.48亿元、1,038.57亿元，财政自给率75.04%、73.18%、72.27%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政府性基金收入方面，2023、2024、2025年分别为504.11亿元、612.28亿元、502.60亿元，政府性基金收入总体平稳，反映地方综合财力对房地产周期的敞口。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图表：2023-2025年福州市财政收入情况(单位:亿元、%)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486.51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474.31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462.97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1,025.48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612.28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-17.91%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资料来源:福州市财政决算、企业预警通,风控信评部整理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福州市经营性用地成交价分别为716.53亿元、576.53亿元、498.16亿元、537.84亿元、406.23亿元，2025年较2021年下降43.31%；同期平均溢价率为14.59%、2.26%、6.33%、3.56%、2.19%；成交楼面均价由3,212元/㎡降至2,806元/㎡、累计下降12.64%。2026年1-4月，福州市经营性用地累计成交63宗、规划建面384.53万㎡、成交价87.91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图表:2021-2025年福州市土地出让情况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2,230.56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716.53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2,223.86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576.53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1,812.55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498.16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1,861.38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537.84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1,447.68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406.23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87.91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福州市商品住宅成交面积由883.03万㎡变动至445.19万㎡、累计下降49.6%；新房均价2025年为15,919元/㎡、较2021年高点(18,631元/㎡)累计下跌14.56%；2025年去化周期23.36个月。据中指冰山指数(最低挂牌价口径)，福州二手房挂牌价较2021年8月高点累计下跌38.35%，2023年累计跌幅-8.19%、2024年累计跌幅-12.70%、2025年累计跌幅-13.38%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福州市地方政府债务余额分别为2,196.99亿元、2,760.74亿元、3,349.60亿元，2025年末债务限额3,414.87亿元，债务余额控制在限额以内；城投有息债务2025年末估算余额4,007.68亿元。债务率指标看，2025年末政府债务率195.36%、城投债务率233.74%、宽口径债务率429.09%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福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