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日喀则市信用评级报告(区域部分)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日喀则经济总量列西藏自治区第二位，人均GDP约6.23万元、人均经济实力在省内相对靠后，经济增速由10.20%回落至7.60%、有所放缓；固定资产投资最新增速10.10%，经济运行总体平稳。【待补充：日喀则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日喀则市2023、2024、2025年地区生产总值分别为424.84亿元、464.30亿元、509.87亿元，同比增长10.20%、6.40%、7.60%。截至2025年末，全市常住人口82.10万人，人均GDP约6.23万元。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产业结构方面，2025年日喀则市三次产业结构为17.1:31.2:51.7。【待补充：支柱产业、主要龙头企业、对外贸易等定性描述（数据库未覆盖）】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2023、2024、2025年固定资产投资增速分别为52.80%、22.10%、10.10%，2025年社会消费品零售总额187.89亿元，进出口总额3.84亿美元。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图表：2025年西藏自治区各地级市主要经济指标对比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拉萨市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3.4:42.9:53.7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日喀则市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509.87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17.1:31.2:51.7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13.1:40.7:46.2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山南市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6.4:44.8:48.8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林芝市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6.98:35.89:57.13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阿里地区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那曲市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日喀则市2025年GDP总量509.87亿元、列全省第二位，一般公共预算收入27.20亿元、列全省第三位。整体来看，日喀则市经济基本面在西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日喀则市财政体量在西藏自治区位居前列，税收占比57.60%、税收占比处于一般水平，但政府性基金收入较2023年累计增长70%；2025年末宽口径债务率685.31%、处于偏高水平，已显著高于公认的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日喀则市一般公共预算收入分别为21.92亿元、24.38亿元、27.20亿元，其中税收收入12.34亿元、12.73亿元、15.67亿元，税收占比维持在56.30%、52.23%、57.60%；一般公共预算支出424.65亿元、450.21亿元、519.92亿元，财政自给率5.16%、5.41%、5.23%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政府性基金收入方面，2023、2024、2025年分别为2.16亿元、3.11亿元、3.67亿元，政府性基金收入较2023年累计增长70%，反映地方综合财力对房地产周期的敞口。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图表：2023-2025年日喀则市财政收入情况(单位:亿元、%)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23.10%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450.21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519.92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15.48%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资料来源:日喀则市财政决算、企业预警通,风控信评部整理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土地市场方面，【待补充:日喀则市土地出让与房地产销售数据（土地市场数据库未覆盖该市）】。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日喀则市地方政府债务余额分别为100.32亿元、117.35亿元、150.85亿元，2025年末债务限额152.63亿元，债务余额控制在限额以内；城投有息债务2025年末估算余额60.70亿元。债务率指标看，2025年末政府债务率488.68%、城投债务率196.63%、宽口径债务率685.31%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日喀则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