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昌都市信用评级报告(区域部分)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昌都经济总量列西藏自治区第三位，人均GDP约5.51万元、人均经济实力在省内相对靠后，经济增速由9.70%回落至6.70%、有所放缓；固定资产投资最新增速10.20%，经济运行总体平稳。【待补充：昌都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昌都市2023、2024、2025年地区生产总值分别为334.04亿元、386.01亿元、424.86亿元，同比增长9.70%、6.40%、6.70%。截至2025年末，全市常住人口77.20万人，人均GDP约5.51万元。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产业结构方面，2025年昌都市三次产业结构为13.1:40.7:46.2。【待补充：支柱产业、主要龙头企业、对外贸易等定性描述（数据库未覆盖）】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2023、2024、2025年固定资产投资增速分别为31.70%、21.20%、10.20%，2025年社会消费品零售总额106.20亿元，进出口总额0.02亿美元。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图表：2025年西藏自治区各地级市主要经济指标对比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拉萨市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1,090.99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3.4:42.9:53.7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88.30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日喀则市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509.87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17.1:31.2:51.7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82.10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昌都市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424.86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13.1:40.7:46.2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山南市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6.4:44.8:48.8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林芝市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292.34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6.98:35.89:57.13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阿里地区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114.21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那曲市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昌都市2025年GDP总量424.86亿元、列全省第三位，一般公共预算收入33.63亿元、列全省第二位。整体来看，昌都市经济基本面在西藏自治区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昌都市财政体量在西藏自治区位居前列，税收占比66.34%、税收质量较好，但政府性基金收入较2023年累计下降36%、土地财政贡献度弱化；2025年末宽口径债务率322.45%、处于偏高水平，已显著高于公认的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昌都市一般公共预算收入分别为25.18亿元、32.07亿元、33.63亿元，其中税收收入17.29亿元、23.14亿元、22.31亿元，税收占比维持在68.68%、72.17%、66.34%；一般公共预算支出314.88亿元、325.66亿元、342.32亿元，财政自给率8.00%、9.85%、9.82%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政府性基金收入方面，2023、2024、2025年分别为3.16亿元、1.93亿元、2.02亿元，政府性基金收入较2023年累计下降36%、土地财政贡献度弱化，反映地方综合财力对房地产周期的敞口。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图表：2023-2025年昌都市财政收入情况(单位:亿元、%)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12.39%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27.36%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33.83%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-3.59%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68.68%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72.17%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66.34%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314.88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325.66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3.42%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342.32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-38.92%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4.66%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资料来源:昌都市财政决算、企业预警通,风控信评部整理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土地市场方面，【待补充:昌都市土地出让与房地产销售数据（土地市场数据库未覆盖该市）】。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昌都市地方政府债务余额分别为93.92亿元、109.90亿元、117.59亿元，2025年末债务限额118.11亿元，债务余额控制在限额以内；城投有息债务2025年末估算余额—亿元。债务率指标看，2025年末政府债务率322.45%、城投债务率—、宽口径债务率322.45%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昌都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