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林芝市信用评级报告(区域部分)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林芝经济总量列西藏自治区第五位，人均GDP约—万元、人均经济实力居省内中游，经济增速由9.50%回落至7.30%、有所放缓；固定资产投资最新增速62.90%，经济运行总体平稳。【待补充：林芝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林芝市2023、2024、2025年地区生产总值分别为235.66亿元、267.78亿元、292.34亿元，同比增长9.50%、6.30%、7.30%。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产业结构方面，2025年林芝市三次产业结构为6.98:35.89:57.13。【待补充：支柱产业、主要龙头企业、对外贸易等定性描述（数据库未覆盖）】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2023、2024、2025年固定资产投资增速分别为17.10%、29.30%、62.90%，2025年社会消费品零售总额77.11亿元，进出口总额0.01亿美元。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林芝市2025年GDP总量292.34亿元、列全省第五位，一般公共预算收入20.27亿元、列全省第五位。整体来看，林芝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林芝市财政体量在西藏自治区处于中游，税收占比56.50%、税收占比处于一般水平，但政府性基金收入较2023年累计增长38%；2025年末宽口径债务率254.67%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林芝市一般公共预算收入分别为14.88亿元、18.51亿元、20.27亿元，其中税收收入7.70亿元、10.99亿元、11.45亿元，税收占比维持在51.77%、59.35%、56.50%；一般公共预算支出170.21亿元、246.46亿元、221.94亿元，财政自给率8.74%、7.51%、9.13%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政府性基金收入方面，2023、2024、2025年分别为2.52亿元、1.26亿元、3.47亿元，政府性基金收入较2023年累计增长38%，反映地方综合财力对房地产周期的敞口。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图表：2023-2025年林芝市财政收入情况(单位:亿元、%)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资料来源:林芝市财政决算、企业预警通,风控信评部整理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土地市场方面，【待补充:林芝市土地出让与房地产销售数据（土地市场数据库未覆盖该市）】。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林芝市地方政府债务余额分别为34.13亿元、55.23亿元、60.73亿元，2025年末债务限额61.38亿元，债务余额控制在限额以内；城投有息债务2025年末估算余额—亿元。债务率指标看，2025年末政府债务率254.67%、城投债务率—、宽口径债务率254.67%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林芝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