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阿里地区信用评级报告(区域部分)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里地区经济总量列西藏自治区第六位，人均GDP约—万元、人均经济实力居省内中游，经济增速由13.00%回落至6.60%、有所放缓；固定资产投资最新增速35.64%，经济运行总体平稳。【待补充：阿里地区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阿里地区2023、2024、2025年地区生产总值分别为91.51亿元、105.85亿元、114.21亿元，同比增长13.00%、—、6.60%。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产业结构方面，2025年阿里地区三次产业结构为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2023年固定资产投资增速分别为35.64%，2025年社会消费品零售总额24.30亿元，进出口总额0.01亿美元。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图表：2025年西藏自治区各地级市主要经济指标对比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拉萨市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3.4:42.9:53.7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日喀则市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17.1:31.2:51.7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13.1:40.7:46.2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山南市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6.4:44.8:48.8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林芝市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6.98:35.89:57.13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阿里地区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那曲市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省内对比看，阿里地区2025年GDP总量114.21亿元、列全省第六位。整体来看，阿里地区经济基本面在西藏自治区内具有一定代表性，但需关注固定资产投资走势及新旧动能转换的接续性。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阿里地区财政体量在西藏自治区处于中游，税收占比—、税收占比处于一般水平，但政府性基金收入较2023年累计下降42%、土地财政贡献度弱化；2025年末宽口径债务率—、处于水平待评估水平，。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阿里地区一般公共预算收入分别为7.20亿元、10.45亿元、—亿元，其中税收收入—亿元、—亿元、—亿元，税收占比维持在—、—、—；一般公共预算支出162.73亿元、193.45亿元、174.61亿元，财政自给率4.42%、5.40%、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政府性基金收入方面，2023、2024年分别为1.91亿元、1.10亿元，政府性基金收入较2023年累计下降42%、土地财政贡献度弱化，反映地方综合财力对房地产周期的敞口。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图表：2023-2025年阿里地区财政收入情况(单位:亿元、%)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162.73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-42.41%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资料来源:阿里地区财政决算、企业预警通,风控信评部整理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土地市场方面，【待补充:阿里地区土地出让与房地产销售数据（土地市场数据库未覆盖该市）】。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阿里地区地方政府债务余额分别为37.95亿元、54.68亿元、57.51亿元，2025年末债务限额58.57亿元，债务余额控制在限额以内；城投有息债务2025年末估算余额—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阿里地区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