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六盘水市信用评级报告(区域部分)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六盘水经济总量列贵州省第五位，人均GDP约5.86万元、人均经济实力居全省中游，经济增速由3.60%回升至5.20%、动能边际改善；固定资产投资连续负增长（最新3.30%），经济运行总体平稳。【待补充：六盘水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六盘水市2023、2024、2025年地区生产总值分别为1,622.53亿元、1,703.70亿元、1,777.75亿元，同比增长3.60%、5.20%、5.20%。截至2025年末，全市常住人口303.47万人，人均GDP约5.86万元。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产业结构方面，2025年六盘水市三次产业结构为10.8:41.3:47.9。【待补充：支柱产业、主要龙头企业、对外贸易等定性描述（数据库未覆盖）】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2023、2024、2025年固定资产投资增速分别为-14.80%、-5.90%、3.30%，进出口总额2.42亿美元。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六盘水市2025年GDP总量1,777.75亿元、列全省第五位，一般公共预算收入117.43亿元、列全省第五位。整体来看，六盘水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六盘水市财政体量在贵州省处于中游，税收占比54.01%、税收占比处于一般水平，但政府性基金收入较2023年累计增长86%；2025年末宽口径债务率597.21%、处于偏高水平，已显著高于公认的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六盘水市一般公共预算收入分别为110.33亿元、117.32亿元、117.43亿元，其中税收收入70.30亿元、65.43亿元、63.42亿元，税收占比维持在63.72%、55.77%、54.01%；一般公共预算支出341.09亿元、351.51亿元、363.11亿元，财政自给率32.35%、33.38%、32.34%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政府性基金收入方面，2023、2024、2025年分别为123.99亿元、201.83亿元、230.70亿元，政府性基金收入较2023年累计增长86%，反映地方综合财力对房地产周期的敞口。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图表：2023-2025年六盘水市财政收入情况(单位:亿元、%)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341.09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351.51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资料来源:六盘水市财政决算、企业预警通,风控信评部整理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土地市场方面，【待补充:六盘水市土地出让与房地产销售数据（土地市场数据库未覆盖该市）】。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六盘水市地方政府债务余额分别为935.26亿元、1,132.00亿元、1,267.35亿元，2025年末债务限额1,277.73亿元，债务余额控制在限额以内；城投有息债务2025年末估算余额818.88亿元。债务率指标看，2025年末政府债务率362.79%、城投债务率234.41%、宽口径债务率597.21%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六盘水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