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安顺市信用评级报告(区域部分)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安顺经济总量列贵州省第九位，人均GDP约4.99万元、人均经济实力在省内相对靠后，经济增速由3.50%回升至4.90%、动能边际改善；固定资产投资最新增速转负（-19.80%），经济动能仍有待修复。【待补充：安顺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安顺市2023、2024、2025年地区生产总值分别为1,140.82亿元、1,185.36亿元、1,232.35亿元，同比增长3.50%、4.00%、4.90%。截至2025年末，全市常住人口247.53万人，人均GDP约4.99万元。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产业结构方面，2025年安顺市三次产业结构为17.1:27.2:55.7。【待补充：支柱产业、主要龙头企业、对外贸易等定性描述（数据库未覆盖）】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2023、2024、2025年固定资产投资增速分别为1.80%、6.50%、-19.80%，进出口总额1.99亿美元。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图表：2025年贵州省各地级市主要经济指标对比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贵阳市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6,038.15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3.6:29.5:66.8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666.89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遵义市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5,206.12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11.1:39.4:49.5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358.00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646.69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毕节市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2,541.14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22.6:25.8:51.5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660.83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2,008.49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15.4:29.6:55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133.29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348.97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六盘水市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1,777.75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10.8:41.3:47.9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303.47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1,722.66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20.5:23.3:56.2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黔西南布依族苗族自治州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1,535.28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19:27.3:53.7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黔东南苗族侗族自治州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1,500.24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19.3:21.6:59.1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372.12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1,232.35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17.1:27.2:55.7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247.53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安顺市2025年GDP总量1,232.35亿元、列全省第九位，一般公共预算收入68.31亿元、列全省第九位。整体来看，安顺市经济基本面在贵州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安顺市财政体量在贵州省处于中游，税收占比46.95%、税收占比处于一般水平，但政府性基金收入总体平稳；2025年末宽口径债务率744.56%、处于偏高水平，已显著高于公认的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安顺市一般公共预算收入分别为69.25亿元、65.34亿元、68.31亿元，其中税收收入32.02亿元、27.29亿元、32.07亿元，税收占比维持在46.24%、41.77%、46.95%；一般公共预算支出299.52亿元、296.92亿元、302.86亿元，财政自给率23.12%、22.01%、22.55%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政府性基金收入方面，2023、2024、2025年分别为98.43亿元、103.00亿元、104.88亿元，政府性基金收入总体平稳，反映地方综合财力对房地产周期的敞口。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图表：2023-2025年安顺市财政收入情况(单位:亿元、%)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20.31%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-14.77%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17.52%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46.24%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46.95%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299.52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296.92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302.86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23.12%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22.01%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103.00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资料来源:安顺市财政决算、企业预警通,风控信评部整理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土地市场方面，【待补充:安顺市土地出让与房地产销售数据（土地市场数据库未覆盖该市）】。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安顺市地方政府债务余额分别为726.59亿元、842.00亿元、844.80亿元，2025年末债务限额851.38亿元，债务余额控制在限额以内；城投有息债务2025年末估算余额445.34亿元。债务率指标看，2025年末政府债务率487.55%、城投债务率257.01%、宽口径债务率744.56%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安顺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