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毕节市信用评级报告(区域部分)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毕节经济总量列贵州省第三位，人均GDP约3.84万元、人均经济实力在省内相对靠后，经济增速维持在4.90%左右、总体平稳；固定资产投资最新增速6.40%，经济运行总体平稳。【待补充：毕节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毕节市2023、2024、2025年地区生产总值分别为2,362.72亿元、2,451.72亿元、2,541.14亿元，同比增长4.91%、4.30%、4.90%。截至2025年末，全市常住人口660.83万人，人均GDP约3.84万元。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产业结构方面，2025年毕节市三次产业结构为22.6:25.8:51.5。【待补充：支柱产业、主要龙头企业、对外贸易等定性描述（数据库未覆盖）】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2023、2024、2025年固定资产投资增速分别为12.60%、12.30%、6.40%，进出口总额1.43亿美元。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图表：2025年贵州省各地级市主要经济指标对比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6,038.15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3.6:29.5:66.8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490.76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666.89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遵义市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5,206.12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11.1:39.4:49.5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646.69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毕节市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2,541.14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22.6:25.8:51.5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660.83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黔南布依族苗族自治州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2,008.49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15.4:29.6:55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133.29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348.97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六盘水市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1,777.75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10.8:41.3:47.9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117.43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303.47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1,722.66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20.5:23.3:56.2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黔西南布依族苗族自治州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1,535.28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19:27.3:53.7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黔东南苗族侗族自治州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1,500.24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19.3:21.6:59.1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372.12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安顺市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1,232.35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17.1:27.2:55.7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247.53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毕节市2025年GDP总量2,541.14亿元、列全省第三位，一般公共预算收入140.04亿元、列全省第三位。整体来看，毕节市经济基本面在贵州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毕节市财政体量在贵州省位居前列，税收占比61.16%、税收质量较好，但政府性基金收入较2023年累计增长12%；2025年末宽口径债务率719.71%、处于偏高水平，已显著高于公认的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毕节市一般公共预算收入分别为129.64亿元、134.45亿元、140.04亿元，其中税收收入79.22亿元、84.02亿元、85.65亿元，税收占比维持在61.11%、62.49%、61.16%；一般公共预算支出708.36亿元、754.24亿元、754.37亿元，财政自给率18.30%、17.83%、18.56%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政府性基金收入方面，2023、2024、2025年分别为158.47亿元、152.59亿元、177.28亿元，政府性基金收入较2023年累计增长12%，反映地方综合财力对房地产周期的敞口。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图表：2023-2025年毕节市财政收入情况(单位:亿元、%)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129.64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134.45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62.49%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61.16%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708.36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754.24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754.37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0.02%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18.56%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158.47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152.59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177.28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16.18%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资料来源:毕节市财政决算、企业预警通,风控信评部整理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土地市场方面，【待补充:毕节市土地出让与房地产销售数据（土地市场数据库未覆盖该市）】。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毕节市地方政府债务余额分别为1,378.00亿元、1,603.40亿元、1,784.17亿元，2025年末债务限额1,803.22亿元，债务余额控制在限额以内；城投有息债务2025年末估算余额525.54亿元。债务率指标看，2025年末政府债务率555.95%、城投债务率163.76%、宽口径债务率719.71%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毕节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