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贵阳市信用评级报告(区域部分)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贵阳经济总量在贵州省稳居第一，人均GDP约9.10万元、人均经济实力居全省前列，经济增速由5.96%回落至5.10%、有所放缓；固定资产投资连续负增长（最新-1.90%），经济动能仍有待修复。【待补充：贵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贵阳市2023、2024、2025年地区生产总值分别为5,427.75亿元、5,778.24亿元、6,038.15亿元，同比增长5.96%、6.00%、5.10%。截至2025年末，全市常住人口666.89万人，人均GDP约9.10万元。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产业结构方面，2025年贵阳市三次产业结构为3.6:29.5:66.8。【待补充：支柱产业、主要龙头企业、对外贸易等定性描述（数据库未覆盖）】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2023、2024、2025年固定资产投资增速分别为-10.30%、3.60%、-1.90%，2025年社会消费品零售总额2,576.34亿元，进出口总额92.64亿美元。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贵阳市2025年GDP总量6,038.15亿元、列全省第一位，一般公共预算收入490.76亿元、列全省第一位。整体来看，贵阳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贵阳市财政体量在贵州省稳居第一，税收占比63.98%、税收质量较好，但政府性基金收入较2023年累计增长26%；2025年末宽口径债务率607.89%、处于偏高水平，已显著高于公认的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贵阳市一般公共预算收入分别为446.20亿元、472.05亿元、490.76亿元，其中税收收入302.02亿元、311.58亿元、314.00亿元，税收占比维持在67.69%、66.01%、63.98%；一般公共预算支出778.79亿元、805.72亿元、814.63亿元，财政自给率57.29%、58.59%、60.24%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政府性基金收入方面，2023、2024、2025年分别为640.94亿元、704.69亿元、809.02亿元，政府性基金收入较2023年累计增长26%，反映地方综合财力对房地产周期的敞口。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图表：2023-2025年贵阳市财政收入情况(单位:亿元、%)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302.02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805.72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814.63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704.69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809.02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14.81%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资料来源:贵阳市财政决算、企业预警通,风控信评部整理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土地市场方面，【待补充:贵阳市土地出让与房地产销售数据（土地市场数据库未覆盖该市）】。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贵阳市地方政府债务余额分别为3,435.82亿元、3,769.00亿元、4,329.89亿元，2025年末债务限额4,373.17亿元，债务余额控制在限额以内；城投有息债务2025年末估算余额3,618.01亿元。债务率指标看，2025年末政府债务率331.17%、城投债务率276.72%、宽口径债务率607.89%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贵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