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遵义市信用评级报告(区域部分)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遵义经济总量列贵州省第二位，人均GDP约8.03万元、人均经济实力居全省前列，经济增速由6.75%回落至4.30%、有所放缓；固定资产投资连续负增长（最新-8.70%），经济动能仍有待修复。【待补充：遵义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遵义市2023、2024、2025年地区生产总值分别为4,762.73亿元、5,027.61亿元、5,206.12亿元，同比增长6.75%、5.70%、4.30%。截至2025年末，全市常住人口646.69万人，人均GDP约8.03万元。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产业结构方面，2025年遵义市三次产业结构为11.1:39.4:49.5。【待补充：支柱产业、主要龙头企业、对外贸易等定性描述（数据库未覆盖）】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2023、2024、2025年固定资产投资增速分别为-12.50%、-2.90%、-8.70%，2025年社会消费品零售总额1,765.84亿元，进出口总额8.17亿美元。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图表：2025年贵州省各地级市主要经济指标对比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3.6:29.5:66.8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遵义市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5,206.12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11.1:39.4:49.5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毕节市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2,541.14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22.6:25.8:51.5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15.4:29.6:55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348.97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六盘水市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10.8:41.3:47.9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303.47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20.5:23.3:56.2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黔西南布依族苗族自治州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19:27.3:53.7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黔东南苗族侗族自治州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19.3:21.6:59.1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17.1:27.2:55.7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遵义市2025年GDP总量5,206.12亿元、列全省第二位，一般公共预算收入358.00亿元、列全省第二位。整体来看，遵义市经济基本面在贵州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遵义市财政体量在贵州省位居前列，税收占比70.81%、税收质量较好，但政府性基金收入总体平稳；2025年末宽口径债务率649.59%、处于偏高水平，已显著高于公认的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遵义市一般公共预算收入分别为326.37亿元、347.76亿元、358.00亿元，其中税收收入255.88亿元、260.82亿元、253.51亿元，税收占比维持在78.40%、75.00%、70.81%；一般公共预算支出825.05亿元、862.37亿元、870.41亿元，财政自给率39.56%、40.33%、41.13%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政府性基金收入方面，2023、2024、2025年分别为369.37亿元、368.79亿元、350.65亿元，政府性基金收入总体平稳，反映地方综合财力对房地产周期的敞口。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图表：2023-2025年遵义市财政收入情况(单位:亿元、%)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255.88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825.05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862.37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-4.92%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资料来源:遵义市财政决算、企业预警通,风控信评部整理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土地市场方面，【待补充:遵义市土地出让与房地产销售数据（土地市场数据库未覆盖该市）】。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遵义市地方政府债务余额分别为2,351.56亿元、2,788.41亿元、3,052.43亿元，2025年末债务限额3,071.14亿元，债务余额控制在限额以内；城投有息债务2025年末估算余额1,612.38亿元。债务率指标看，2025年末政府债务率425.06%、城投债务率224.53%、宽口径债务率649.59%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遵义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