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铜仁市信用评级报告(区域部分)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铜仁经济总量列贵州省第六位，人均GDP约5.45万元、人均经济实力居全省中游，经济增速由3.56%回升至5.60%、动能边际改善；固定资产投资最新增速18.90%，经济运行总体平稳。【待补充：铜仁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铜仁市2023、2024、2025年地区生产总值分别为1,571.32亿元、1,648.60亿元、1,722.66亿元，同比增长3.56%、4.90%、5.60%。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产业结构方面，2025年铜仁市三次产业结构为20.5:23.3:56.2。【待补充：支柱产业、主要龙头企业、对外贸易等定性描述（数据库未覆盖）】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2023、2024、2025年固定资产投资增速分别为0.40%、19.60%、18.90%，进出口总额4.44亿美元。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图表：2025年贵州省各地级市主要经济指标对比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6,038.15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3.6:29.5:66.8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490.76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666.89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遵义市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5,206.12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11.1:39.4:49.5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358.00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646.69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毕节市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2,541.14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22.6:25.8:51.5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140.04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660.83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2,008.49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15.4:29.6:55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133.29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348.97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六盘水市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1,777.75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10.8:41.3:47.9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117.43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303.47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1,722.66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20.5:23.3:56.2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黔西南布依族苗族自治州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1,535.28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19:27.3:53.7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97.22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黔东南苗族侗族自治州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1,500.24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19.3:21.6:59.1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372.12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安顺市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1,232.35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17.1:27.2:55.7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68.31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247.53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铜仁市2025年GDP总量1,722.66亿元、列全省第六位，一般公共预算收入77.03亿元、列全省第八位。整体来看，铜仁市经济基本面在贵州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铜仁市财政体量在贵州省处于中游，税收占比54.01%、税收占比处于一般水平，但政府性基金收入较2023年累计增长64%；2025年末宽口径债务率680.64%、处于偏高水平，已显著高于公认的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铜仁市一般公共预算收入分别为72.26亿元、74.58亿元、77.03亿元，其中税收收入40.54亿元、40.10亿元、41.60亿元，税收占比维持在56.10%、53.77%、54.01%；一般公共预算支出471.26亿元、501.28亿元、504.76亿元，财政自给率15.33%、14.88%、15.26%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政府性基金收入方面，2023、2024、2025年分别为130.75亿元、161.51亿元、215.03亿元，政府性基金收入较2023年累计增长64%，反映地方综合财力对房地产周期的敞口。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图表：2023-2025年铜仁市财政收入情况(单位:亿元、%)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3.74%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53.77%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54.01%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471.26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501.28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504.76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15.33%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14.88%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15.26%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130.75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161.51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23.53%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215.03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33.14%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资料来源:铜仁市财政决算、企业预警通,风控信评部整理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土地市场方面，【待补充:铜仁市土地出让与房地产销售数据（土地市场数据库未覆盖该市）】。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铜仁市地方政府债务余额分别为1,095.14亿元、1,423.00亿元、1,517.67亿元，2025年末债务限额1,528.43亿元，债务余额控制在限额以内；城投有息债务2025年末估算余额526.86亿元。债务率指标看，2025年末政府债务率505.24%、城投债务率175.40%、宽口径债务率680.64%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铜仁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