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漯河市信用评级报告(区域部分)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漯河作为河南省下辖地级市，经济总量列河南省第15位，人均GDP约8.30万元、人均经济实力居全省中游，经济增速由5.45%回升至6.10%、动能边际改善；固定资产投资最新增速6.00%，经济运行总体平稳。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漯河市2023、2024、2025年地区生产总值分别为1,780.96亿元、1,853.60亿元、1,953.95亿元，同比增长5.45%、6.80%、6.10%。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产业结构方面，漯河作为河南省下辖地级市，区域产业结构以本地优势产业为主。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2023、2024、2025年固定资产投资增速分别为7.20%、8.70%、6.00%，2025年社会消费品零售总额899.19亿元，进出口总额9.62亿美元。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漯河市2025年GDP总量1,953.95亿元、列全省第15位，一般公共预算收入145.50亿元、列全省第12位。整体来看，漯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漯河市财政体量在河南省处于中游，税收占比73.26%、税收质量较好，但政府性基金收入较2023年累计增长16%；2025年末宽口径债务率519.05%、处于偏高水平，已显著高于公认的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漯河市一般公共预算收入分别为136.31亿元、138.99亿元、145.50亿元，其中税收收入96.22亿元、104.11亿元、106.60亿元，税收占比维持在70.59%、74.91%、73.26%；一般公共预算支出264.10亿元、269.51亿元、281.22亿元，财政自给率51.61%、51.57%、51.74%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政府性基金收入方面，2023、2024、2025年分别为54.43亿元、86.00亿元、62.87亿元，政府性基金收入较2023年累计增长16%，反映地方综合财力对房地产周期的敞口。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图表：2023-2025年漯河市财政收入情况(单位:亿元、%)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-26.90%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资料来源:漯河市财政决算、企业预警通,风控信评部整理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土地市场方面，【待补充:漯河市土地出让与房地产销售数据（土地市场数据库未覆盖该市）】。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漯河市地方政府债务余额分别为453.66亿元、545.49亿元、657.03亿元，2025年末债务限额662.64亿元，债务余额控制在限额以内；城投有息债务2025年末估算余额430.09亿元。债务率指标看，2025年末政府债务率313.70%、城投债务率205.35%、宽口径债务率519.05%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漯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