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濮阳市信用评级报告(区域部分)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濮阳作为河南省下辖地级市，经济总量列河南省第14位，人均经济实力居省内中游，经济增速由2.93%回升至5.55%、动能边际改善；固定资产投资最新增速5.10%，经济运行总体平稳。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濮阳市2023、2024、2025年地区生产总值分别为1,913.19亿元、2,025.40亿元、2,106.17亿元，同比增长2.93%、5.10%、5.55%。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产业结构方面，2025年濮阳市三次产业结构为10.5:37.4:52.1，第三产业占主导、服务业是经济主体。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2023、2024、2025年固定资产投资增速分别为5.00%、8.50%、5.10%，2025年社会消费品零售总额862.35亿元，进出口总额25.48亿美元。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濮阳市2025年GDP总量2,106.17亿元、列全省第14位，一般公共预算收入123.50亿元、列全省第16位。整体来看，濮阳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濮阳市财政体量在河南省处于中游，税收占比58.38%、税收占比处于一般水平，但政府性基金收入总体平稳；2025年末宽口径债务率765.66%、处于偏高水平，已显著高于公认的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濮阳市一般公共预算收入分别为118.55亿元、118.10亿元、123.50亿元，其中税收收入79.97亿元、74.19亿元、72.09亿元，税收占比维持在67.46%、62.82%、58.38%；一般公共预算支出330.10亿元、344.64亿元、346.18亿元，财政自给率35.91%、34.27%、35.67%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政府性基金收入方面，2023、2024、2025年分别为52.88亿元、49.12亿元、54.39亿元，政府性基金收入总体平稳，反映地方综合财力对房地产周期的敞口。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图表：2023-2025年濮阳市财政收入情况(单位:亿元、%)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-2.83%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344.64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346.18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资料来源:濮阳市财政决算、企业预警通,风控信评部整理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土地市场方面，【待补充:濮阳市土地出让与房地产销售数据（土地市场数据库未覆盖该市）】。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濮阳市地方政府债务余额分别为623.82亿元、762.51亿元、879.69亿元，2025年末债务限额890.96亿元，债务余额控制在限额以内；城投有息债务2025年末估算余额488.10亿元。债务率指标看，2025年末政府债务率492.43%、城投债务率273.23%、宽口径债务率765.66%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濮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