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焦作市信用评级报告(区域部分)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焦作作为河南省下辖地级市，经济总量列河南省第13位，人均经济实力居省内中游，经济增速由3.90%回升至6.50%、动能边际改善；固定资产投资最新增速5.80%，经济运行总体平稳。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焦作市2023、2024、2025年地区生产总值分别为2,236.73亿元、2,361.30亿元、2,479.60亿元，同比增长3.90%、5.40%、6.50%。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产业结构方面，焦作作为河南省下辖地级市，区域产业结构以本地优势产业为主。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2023、2024、2025年固定资产投资增速分别为7.40%、8.30%、5.80%，进出口总额32.54亿美元。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焦作市2025年GDP总量2,479.60亿元、列全省第13位，一般公共预算收入135.10亿元、列全省第15位。整体来看，焦作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焦作市财政体量在河南省处于中游，税收占比70.02%、税收质量较好，但政府性基金收入较2023年累计增长37%；2025年末宽口径债务率566.00%、处于偏高水平，已显著高于公认的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焦作市一般公共预算收入分别为143.55亿元、128.48亿元、135.10亿元，其中税收收入109.33亿元、92.68亿元、94.60亿元，税收占比维持在76.16%、72.14%、70.02%；一般公共预算支出302.44亿元、332.06亿元、312.90亿元，财政自给率47.46%、38.69%、43.18%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政府性基金收入方面，2023、2024、2025年分别为55.56亿元、60.58亿元、76.10亿元，政府性基金收入较2023年累计增长37%，反映地方综合财力对房地产周期的敞口。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图表：2023-2025年焦作市财政收入情况(单位:亿元、%)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143.55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-5.77%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资料来源:焦作市财政决算、企业预警通,风控信评部整理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土地市场方面，【待补充:焦作市土地出让与房地产销售数据（土地市场数据库未覆盖该市）】。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焦作市地方政府债务余额分别为570.19亿元、677.87亿元、794.43亿元，2025年末债务限额805.20亿元，债务余额控制在限额以内；城投有息债务2025年末估算余额407.76亿元。债务率指标看，2025年末政府债务率374.03%、城投债务率191.98%、宽口径债务率566.00%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焦作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