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许昌市信用评级报告(区域部分)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许昌作为河南省下辖地级市，经济总量列河南省第六位，人均GDP约8.23万元、人均经济实力居全省中游，经济增速由0.90%回升至6.30%、动能边际改善；固定资产投资最新增速5.40%，经济运行总体平稳。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许昌市2023、2024、2025年地区生产总值分别为3,247.86亿元、3,413.92亿元、3,583.40亿元，同比增长0.90%、6.00%、6.30%。截至2025年末，全市常住人口434.60万人，人均GDP约8.23万元。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产业结构方面，2025年许昌市三次产业结构为5.8:42.6:51.6，第三产业占主导、服务业是经济主体。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2023、2024、2025年固定资产投资增速分别为6.10%、8.50%、5.40%，2025年社会消费品零售总额1,869.70亿元，进出口总额37.16亿美元。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许昌市2025年GDP总量3,583.40亿元、列全省第六位，一般公共预算收入192.13亿元、列全省第十位。整体来看，许昌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许昌市财政体量在河南省处于中游，税收占比64.33%、税收质量较好，但政府性基金收入较2023年累计增长16%；2025年末宽口径债务率652.96%、处于偏高水平，已显著高于公认的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许昌市一般公共预算收入分别为211.87亿元、183.87亿元、192.13亿元，其中税收收入142.23亿元、121.39亿元、123.59亿元，税收占比维持在67.13%、66.02%、64.33%；一般公共预算支出348.11亿元、364.08亿元、380.97亿元，财政自给率60.86%、50.50%、50.43%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政府性基金收入方面，2023、2024、2025年分别为69.32亿元、78.65亿元、80.07亿元，政府性基金收入较2023年累计增长16%，反映地方综合财力对房地产周期的敞口。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图表：2023-2025年许昌市财政收入情况(单位:亿元、%)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资料来源:许昌市财政决算、企业预警通,风控信评部整理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土地市场方面，【待补充:许昌市土地出让与房地产销售数据（土地市场数据库未覆盖该市）】。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许昌市地方政府债务余额分别为828.30亿元、992.34亿元、1,202.44亿元，2025年末债务限额1,214.57亿元，债务余额控制在限额以内；城投有息债务2025年末估算余额871.03亿元。债务率指标看，2025年末政府债务率378.66%、城投债务率274.30%、宽口径债务率652.96%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许昌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