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郑州市信用评级报告(区域部分)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郑州作为河南省省会，经济总量在河南省稳居第一，人均GDP约11.63万元、人均经济实力居全省前列，经济增速由7.50%回落至5.40%、有所放缓；固定资产投资最新增速5.30%，经济运行总体平稳。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郑州市2023、2024、2025年地区生产总值分别为13,926.81亿元、14,569.60亿元、15,244.60亿元，同比增长7.50%、5.70%、5.40%。截至2025年末，全市常住人口1313.80万人，人均GDP约11.63万元。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产业结构方面，2025年郑州市三次产业结构为1.2:36.6:62.2，以电子信息（智能终端）、汽车装备、现代物流为支柱，聚集富士康郑州、宇通客车等企业，是全国重要的综合交通枢纽。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2023、2024年固定资产投资增速分别为6.80%、5.30%，2025年社会消费品零售总额6,629.40亿元，进出口总额909.53亿美元。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郑州市2025年GDP总量15,244.60亿元、列全省第一位，一般公共预算收入1,181.30亿元、列全省第一位。整体来看，郑州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郑州市财政体量在河南省稳居第一，税收占比67.37%、税收质量较好，但政府性基金收入较2023年累计下降28%、土地财政贡献度弱化；2025年末宽口径债务率907.35%、处于偏高水平，已显著高于公认的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郑州市一般公共预算收入分别为1,165.85亿元、1,155.04亿元、1,181.30亿元，其中税收收入786.38亿元、775.39亿元、795.90亿元，税收占比维持在67.45%、67.13%、67.37%；一般公共预算支出1,519.62亿元、1,525.71亿元、1,517.10亿元，财政自给率76.72%、75.70%、77.87%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政府性基金收入方面，2023、2024、2025年分别为387.86亿元、347.72亿元、277.50亿元，政府性基金收入较2023年累计下降28%、土地财政贡献度弱化，反映地方综合财力对房地产周期的敞口。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图表：2023-2025年郑州市财政收入情况(单位:亿元、%)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1,165.85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1,155.04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786.38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1,519.62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1,525.71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1,517.10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-20.19%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资料来源:郑州市财政决算、企业预警通,风控信评部整理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郑州市经营性用地成交价分别为1,026.36亿元、514.64亿元、399.93亿元、283.02亿元、220.67亿元，2025年较2021年下降78.50%；同期平均溢价率为6.11%、0.64%、0.84%、1.83%、3.84%；成交楼面均价由2,385元/㎡降至1,022元/㎡、累计下降57.15%。2026年1-4月，郑州市经营性用地累计成交44宗、规划建面308.93万㎡、成交价28.12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图表:2021-2025年郑州市土地出让情况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4,303.47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1,026.36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4,055.81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514.64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3,199.36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399.93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4,146.79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283.02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2,156.42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308.93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郑州市商品住宅成交面积由1,466.22万㎡变动至575.18万㎡、累计下降60.8%；新房均价2025年为11,458元/㎡、较2021年高点(12,956元/㎡)累计下跌11.56%。据中指冰山指数(最低挂牌价口径)，郑州二手房挂牌价较2018年5月高点累计下跌51.16%，2023年累计跌幅-9.19%、2024年累计跌幅-12.39%、2025年累计跌幅-14.00%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郑州市地方政府债务余额分别为3,355.33亿元、3,938.82亿元、4,672.90亿元，2025年末债务限额4,748.40亿元，债务余额控制在限额以内；城投有息债务2025年末估算余额8,929.15亿元。债务率指标看，2025年末政府债务率311.71%、城投债务率595.63%、宽口径债务率907.35%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郑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