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驻马店市信用评级报告(区域部分)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驻马店作为河南省下辖地级市，经济总量列河南省第七位，人均经济实力居省内中游，经济增速由4.55%回升至6.00%、动能边际改善；固定资产投资最新增速4.30%，经济运行总体平稳。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驻马店市2023、2024、2025年地区生产总值分别为3,128.31亿元、3,352.55亿元、3,501.64亿元，同比增长4.55%、6.10%、6.00%。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产业结构方面，2025年驻马店市三次产业结构为15.5:32.1:52.4，第三产业占主导、服务业是经济主体，农业基础较好。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2023、2024、2025年固定资产投资增速分别为7.50%、9.00%、4.30%。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图表：2025年河南省各地级市主要经济指标对比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郑州市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15,244.60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1.2:36.6:62.2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1,181.30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1313.80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洛阳市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6,164.52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3.7:40.1:56.2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5,167.86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15.3:31.9:52.8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周口市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3,810.83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15.5:32.5:52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859.90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新乡市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3,687.07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234.72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许昌市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3,583.40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5.8:42.6:51.6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434.60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驻马店市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3,501.64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15.5:32.1:52.4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214.04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商丘市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3,475.38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17.3:32.2:50.5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756.40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信阳市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3,196.70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15.9:31.3:52.8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137.16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595.70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平顶山市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2,929.40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226.62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开封市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2,860.06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12.6:34.6:52.8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468.70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2,765.80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7.75:39.26:52.99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焦作市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2,479.60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濮阳市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2,106.17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10.5:37.4:52.1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漯河市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三门峡市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1,702.61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149.51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鹤壁市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1,144.12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6.8:48.8:44.4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155.40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驻马店市2025年GDP总量3,501.64亿元、列全省第七位，一般公共预算收入214.04亿元、列全省第八位。整体来看，驻马店市经济基本面在河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驻马店市财政体量在河南省处于中游，税收占比55.58%、税收占比处于一般水平，但政府性基金收入较2023年累计下降28%、土地财政贡献度弱化；2025年末宽口径债务率583.76%、处于偏高水平，已显著高于公认的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驻马店市一般公共预算收入分别为211.29亿元、210.86亿元、214.04亿元，其中税收收入131.01亿元、124.73亿元、118.96亿元，税收占比维持在62.01%、59.15%、55.58%；一般公共预算支出655.71亿元、663.73亿元、641.18亿元，财政自给率32.22%、31.77%、33.38%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政府性基金收入方面，2023、2024、2025年分别为134.99亿元、110.14亿元、97.48亿元，政府性基金收入较2023年累计下降28%、土地财政贡献度弱化，反映地方综合财力对房地产周期的敞口。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图表：2023-2025年驻马店市财政收入情况(单位:亿元、%)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211.29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214.04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1.51%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131.01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-4.79%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-4.63%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59.15%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55.58%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655.71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663.73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641.18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-3.40%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31.77%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134.99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-18.41%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-11.49%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资料来源:驻马店市财政决算、企业预警通,风控信评部整理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土地市场方面，【待补充:驻马店市土地出让与房地产销售数据（土地市场数据库未覆盖该市）】。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驻马店市地方政府债务余额分别为933.95亿元、1,142.30亿元、1,338.10亿元，2025年末债务限额1,348.90亿元，债务余额控制在限额以内；城投有息债务2025年末估算余额502.22亿元。债务率指标看，2025年末政府债务率424.46%、城投债务率159.31%、宽口径债务率583.76%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驻马店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