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鹤壁市信用评级报告(区域部分)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鹤壁作为河南省下辖地级市，经济总量列河南省第17位，人均GDP约7.35万元、人均经济实力居全省中游，经济增速由3.13%回升至6.60%、动能边际改善；固定资产投资最新增速5.90%，经济运行总体平稳。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鹤壁市2023、2024、2025年地区生产总值分别为1,042.64亿元、1,088.01亿元、1,144.12亿元，同比增长3.13%、5.50%、6.60%。截至2025年末，全市常住人口155.40万人，人均GDP约7.35万元。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产业结构方面，2025年鹤壁市三次产业结构为6.8:48.8:44.4，第二产业占比较高、工业是经济支柱。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2023、2024、2025年固定资产投资增速分别为7.80%、8.30%、5.90%，2025年社会消费品零售总额452.42亿元，进出口总额5.99亿美元。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图表：2025年河南省各地级市主要经济指标对比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郑州市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15,244.60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1.2:36.6:62.2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1313.80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洛阳市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6,164.52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3.7:40.1:56.2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5,167.86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15.3:31.9:52.8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周口市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3,810.83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859.90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新乡市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3,687.07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234.72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许昌市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3,583.40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5.8:42.6:51.6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434.60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驻马店市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15.5:32.1:52.4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商丘市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3,475.38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17.3:32.2:50.5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756.40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3,196.70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15.9:31.3:52.8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137.16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595.70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平顶山市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226.62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开封市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2,860.06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12.6:34.6:52.8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468.70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2,765.80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7.75:39.26:52.99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焦作市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2,479.60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濮阳市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2,106.17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10.5:37.4:52.1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漯河市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1,953.95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三门峡市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1,702.61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149.51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鹤壁市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1,144.12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6.8:48.8:44.4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155.40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鹤壁市2025年GDP总量1,144.12亿元、列全省第17位，一般公共预算收入84.50亿元、列全省第17位。整体来看，鹤壁市经济基本面在河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鹤壁市财政体量在河南省处于中游，税收占比60.00%、税收质量较好，但政府性基金收入总体平稳；2025年末宽口径债务率628.70%、处于偏高水平，已显著高于公认的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鹤壁市一般公共预算收入分别为80.34亿元、81.58亿元、84.50亿元，其中税收收入51.54亿元、53.77亿元、50.70亿元，税收占比维持在64.15%、65.91%、60.00%；一般公共预算支出166.10亿元、190.82亿元、180.46亿元，财政自给率48.37%、42.75%、46.82%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政府性基金收入方面，2023、2024、2025年分别为32.06亿元、30.88亿元、32.18亿元，政府性基金收入总体平稳，反映地方综合财力对房地产周期的敞口。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图表：2023-2025年鹤壁市财政收入情况(单位:亿元、%)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-5.71%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65.91%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14.88%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180.46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-5.43%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48.37%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46.82%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资料来源:鹤壁市财政决算、企业预警通,风控信评部整理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土地市场方面，【待补充:鹤壁市土地出让与房地产销售数据（土地市场数据库未覆盖该市）】。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鹤壁市地方政府债务余额分别为428.68亿元、484.30亿元、536.20亿元，2025年末债务限额545.03亿元，债务余额控制在限额以内；城投有息债务2025年末估算余额205.73亿元。债务率指标看，2025年末政府债务率454.37%、城投债务率174.33%、宽口径债务率628.70%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鹤壁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