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丽水市信用评级报告(区域部分)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丽水作为浙江省下辖地级市，经济总量列浙江省第11位，人均GDP约9.08万元、人均经济实力在省内相对靠后，经济增速由7.50%回落至6.40%、有所放缓；固定资产投资最新增速转负（-1.80%），经济动能仍有待修复。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丽水市2023、2024、2025年地区生产总值分别为2,043.00亿元、2,181.20亿元、2,301.40亿元，同比增长7.50%、6.60%、6.40%。截至2025年末，全市常住人口253.90万人，人均GDP约9.08万元。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产业结构方面，2025年丽水市三次产业结构为5.6:35.4:59，第三产业占主导、服务业是经济主体。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2023、2024、2025年固定资产投资增速分别为15.60%、8.30%、-1.80%，2025年社会消费品零售总额1,035.80亿元，进出口总额62.94亿美元。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杭州市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23,011.00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1.7:24.5:73.8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1270.00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宁波市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18,716.00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2.5:42:55.5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1,795.23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983.30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温州市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10,213.90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2:36.3:61.7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绍兴市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8,932.10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3:47:50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603.45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544.30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7,851.06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2:48.4:49.6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652.44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561.30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7,313.47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2.3:37.4:60.3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726.90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7,005.87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5.2:41.8:53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676.00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湖州市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4,452.80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衢州市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4.1:40.5:55.4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229.70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舟山市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2,346.10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9.5:42.1:48.4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2,301.40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5.6:35.4:59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253.90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丽水市2025年GDP总量2,301.40亿元、列全省第11位，一般公共预算收入198.05亿元、列全省第11位。整体来看，丽水市经济基本面在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丽水市财政体量在浙江省处于中游，税收占比74.89%、税收质量较好，但政府性基金收入较2023年累计下降42%、土地财政贡献度弱化；2025年末宽口径债务率334.77%、处于偏高水平，已显著高于公认的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丽水市一般公共预算收入分别为186.06亿元、193.20亿元、198.05亿元，其中税收收入138.68亿元、143.21亿元、148.31亿元，税收占比维持在74.54%、74.13%、74.89%；一般公共预算支出653.65亿元、650.08亿元、617.71亿元，财政自给率28.46%、29.72%、32.06%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政府性基金收入方面，2023、2024、2025年分别为405.59亿元、294.61亿元、234.13亿元，政府性基金收入较2023年累计下降42%、土地财政贡献度弱化，反映地方综合财力对房地产周期的敞口。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图表：2023-2025年丽水市财政收入情况(单位:亿元、%)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143.21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617.71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-4.98%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-27.36%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-20.53%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资料来源:丽水市财政决算、企业预警通,风控信评部整理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土地市场方面，【待补充:丽水市土地出让与房地产销售数据（土地市场数据库未覆盖该市）】。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丽水市地方政府债务余额分别为1,190.82亿元、1,396.95亿元、1,638.64亿元，2025年末债务限额1,638.72亿元，债务余额控制在限额以内；城投有息债务2025年末估算余额1,820.93亿元。债务率指标看，2025年末政府债务率158.56%、城投债务率176.20%、宽口径债务率334.77%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丽水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