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嘉兴市信用评级报告(区域部分)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嘉兴作为浙江省下辖地级市，经济总量列浙江省第五位，人均GDP约13.99万元、人均经济实力居全省中游，经济增速由6.40%回落至5.20%、有所放缓；固定资产投资连续负增长（最新-8.30%），经济动能仍有待修复。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嘉兴市2023、2024、2025年地区生产总值分别为7,253.56亿元、7,574.63亿元、7,851.06亿元，同比增长6.40%、5.60%、5.20%。截至2025年末，全市常住人口561.30万人，人均GDP约13.99万元。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产业结构方面，2025年嘉兴市三次产业结构为2:48.4:49.6，以高端装备、电子信息、新材料和现代物流为支柱，接轨沪杭、民营经济发达。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2023、2024、2025年固定资产投资增速分别为7.40%、-1.70%、-8.30%，2025年社会消费品零售总额2,972.14亿元，进出口总额694.01亿美元。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图表：2025年浙江省各地级市主要经济指标对比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杭州市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23,011.00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1.7:24.5:73.8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2,693.21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1270.00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宁波市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18,716.00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2.5:42:55.5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1,795.23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983.30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温州市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10,213.90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2:36.3:61.7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647.03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990.20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绍兴市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8,932.10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3:47:50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603.45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544.30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嘉兴市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7,851.06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2:48.4:49.6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652.44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561.30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金华市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7,313.47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2.3:37.4:60.3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726.90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7,005.87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5.2:41.8:53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676.00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湖州市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4,452.80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4.2:46:49.8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347.20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衢州市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4.1:40.5:55.4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229.70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舟山市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2,346.10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9.5:42.1:48.4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2,301.40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5.6:35.4:59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253.90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嘉兴市2025年GDP总量7,851.06亿元、列全省第五位，一般公共预算收入652.44亿元、列全省第三位。整体来看，嘉兴市经济基本面在浙江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嘉兴市财政体量在浙江省位居前列，税收占比86.88%、税收质量较好，但政府性基金收入较2023年累计下降28%、土地财政贡献度弱化；2025年末宽口径债务率820.76%、处于偏高水平，已显著高于公认的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嘉兴市一般公共预算收入分别为632.02亿元、638.72亿元、652.44亿元，其中税收收入556.83亿元、542.04亿元、566.84亿元，税收占比维持在88.10%、84.86%、86.88%；一般公共预算支出826.99亿元、836.01亿元、800.12亿元，财政自给率76.42%、76.40%、81.54%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政府性基金收入方面，2023、2024、2025年分别为578.19亿元、450.65亿元、414.43亿元，政府性基金收入较2023年累计下降28%、土地财政贡献度弱化，反映地方综合财力对房地产周期的敞口。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图表：2023-2025年嘉兴市财政收入情况(单位:亿元、%)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632.02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638.72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652.44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542.04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566.84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84.86%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86.88%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826.99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836.01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-4.29%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578.19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450.65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-22.06%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414.43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-8.04%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资料来源:嘉兴市财政决算、企业预警通,风控信评部整理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嘉兴市经营性用地成交价分别为728.16亿元、476.00亿元、317.38亿元、222.10亿元、242.61亿元，2025年较2021年下降66.68%；同期平均溢价率为15.38%、4.22%、3.68%、1.40%、3.25%；成交楼面均价由2,215元/㎡降至577元/㎡、累计下降73.95%。2026年1-4月，嘉兴市经营性用地累计成交179宗、规划建面1245.39万㎡、成交价64.09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图表:2021-2025年嘉兴市土地出让情况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3,287.54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2,215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15.38%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728.16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3,393.59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4.22%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476.00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3,230.88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3.68%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317.38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3,731.57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1.40%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222.10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4,206.37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3.25%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242.61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1245.39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64.09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嘉兴市商品住宅成交面积由854.07万㎡变动至158.01万㎡、累计下降81.5%；新房均价2025年为15,675元/㎡、较2022年高点(16,130元/㎡)累计下跌2.82%；2025年去化周期38.77个月。据中指冰山指数(最低挂牌价口径)，嘉兴二手房挂牌价较2021年5月高点累计下跌50.30%，2023年累计跌幅-14.39%、2024年累计跌幅-17.21%、2025年累计跌幅-17.96%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嘉兴市地方政府债务余额分别为1,988.19亿元、2,400.90亿元、2,691.36亿元，2025年末债务限额2,691.54亿元，债务余额控制在限额以内；城投有息债务2025年末估算余额10,112.81亿元。债务率指标看，2025年末政府债务率172.52%、城投债务率648.24%、宽口径债务率820.76%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嘉兴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