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宁波市信用评级报告(区域部分)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宁波作为计划单列市，经济总量列浙江省第二位，人均GDP约19.09万元、人均经济实力居全省前列，经济增速由6.00%回落至4.90%、有所放缓；固定资产投资连续负增长（最新-21.40%），经济动能仍有待修复。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宁波市2023、2024、2025年地区生产总值分别为17,146.60亿元、18,123.00亿元、18,716.00亿元，同比增长6.00%、5.40%、4.90%。截至2025年末，全市常住人口983.30万人，人均GDP约19.09万元。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产业结构方面，2025年宁波市三次产业结构为2.5:42:55.5，以石化、汽车制造、高端装备和港口物流为支柱，依托宁波舟山港，聚集吉利汽车、雅戈尔、均胜电子等企业。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2023、2024、2025年固定资产投资增速分别为7.50%、-1.40%、-21.40%，2025年社会消费品零售总额5,703.00亿元，进出口总额2,038.67亿美元。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宁波市2025年GDP总量18,716.00亿元、列全省第二位，一般公共预算收入1,795.23亿元、列全省第二位。整体来看，宁波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宁波市财政体量在浙江省位居前列，税收占比82.22%、税收质量较好，但政府性基金收入较2023年累计下降41%、土地财政贡献度弱化；2025年末宽口径债务率558.86%、处于偏高水平，已显著高于公认的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宁波市一般公共预算收入分别为1,785.86亿元、1,790.47亿元、1,795.23亿元，其中税收收入1,464.65亿元、1,434.17亿元、1,476.09亿元，税收占比维持在82.01%、80.10%、82.22%；一般公共预算支出2,235.09亿元、2,230.37亿元、2,104.44亿元，财政自给率79.90%、80.28%、85.31%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政府性基金收入方面，2023、2024、2025年分别为902.21亿元、721.00亿元、535.34亿元，政府性基金收入较2023年累计下降41%、土地财政贡献度弱化，反映地方综合财力对房地产周期的敞口。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图表：2023-2025年宁波市财政收入情况(单位:亿元、%)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1,785.86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1,464.65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1,476.09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2,235.09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2,104.44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902.21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-25.75%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资料来源:宁波市财政决算、企业预警通,风控信评部整理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宁波市经营性用地成交价分别为1,173.01亿元、1,083.56亿元、778.74亿元、501.21亿元、380.61亿元，2025年较2021年下降67.55%；同期平均溢价率为19.48%、4.83%、5.08%、2.90%、4.23%；成交楼面均价由2,791元/㎡降至1,559元/㎡、累计下降44.14%。2026年1-4月，宁波市经营性用地累计成交146宗、规划建面854.57万㎡、成交价130.67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图表:2021-2025年宁波市土地出让情况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4,202.17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2,791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1,173.01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3,970.93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2,729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1,083.56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2,681.07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778.74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2,845.31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1,761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501.21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380.61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854.57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130.67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宁波市商品住宅成交面积由1,289.44万㎡变动至378.53万㎡、累计下降70.6%；新房均价2025年为21,361元/㎡、较2023年高点(23,030元/㎡)累计下跌7.25%；2025年去化周期20.45个月。据中指冰山指数(最低挂牌价口径)，宁波二手房挂牌价较2021年8月高点累计下跌44.45%，2023年累计跌幅-12.51%、2024年累计跌幅-15.42%、2025年累计跌幅-16.97%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宁波市地方政府债务余额分别为3,248.90亿元、3,997.40亿元、4,854.50亿元，2025年末债务限额5,168.35亿元，债务余额控制在限额以内；城投有息债务2025年末估算余额12,295.65亿元。债务率指标看，2025年末政府债务率158.19%、城投债务率400.67%、宽口径债务率558.86%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宁波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