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杭州市信用评级报告(区域部分)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杭州作为浙江省省会，经济总量在浙江省稳居第一，人均GDP约18.17万元、人均经济实力居全省前列，经济增速由5.90%回落至5.20%、有所放缓；固定资产投资连续负增长（最新-11.30%），经济动能仍有待修复。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杭州市2023、2024、2025年地区生产总值分别为20,960.00亿元、21,838.00亿元、23,011.00亿元，同比增长5.90%、4.70%、5.20%。截至2025年末，全市常住人口1270.00万人，人均GDP约18.17万元。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产业结构方面，2025年杭州市三次产业结构为1.7:24.5:73.8，以数字经济、电子商务、金融和高端服务业为主导，聚集阿里巴巴、海康威视、网易等企业，民营经济活跃。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2023、2024、2025年固定资产投资增速分别为2.80%、-2.90%、-11.30%，2025年社会消费品零售总额9,499.00亿元，进出口总额1,270.07亿美元。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杭州市2025年GDP总量23,011.00亿元、列全省第一位，一般公共预算收入2,693.21亿元、列全省第一位。整体来看，杭州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杭州市财政体量在浙江省稳居第一，税收占比85.46%、税收质量较好，但政府性基金收入较2023年累计下降23%、土地财政贡献度弱化；2025年末宽口径债务率461.05%、处于偏高水平，已显著高于公认的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杭州市一般公共预算收入分别为2,616.81亿元、2,640.33亿元、2,693.21亿元，其中税收收入2,348.13亿元、2,283.32亿元、2,301.61亿元，税收占比维持在89.73%、86.48%、85.46%；一般公共预算支出2,596.28亿元、2,650.08亿元、2,807.90亿元，财政自给率100.79%、99.63%、95.92%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政府性基金收入方面，2023、2024、2025年分别为2,233.40亿元、1,531.08亿元、1,717.13亿元，政府性基金收入较2023年累计下降23%、土地财政贡献度弱化，反映地方综合财力对房地产周期的敞口。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图表：2023-2025年杭州市财政收入情况(单位:亿元、%)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2,616.81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2,348.13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2,283.32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2,596.28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2,650.08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-31.45%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资料来源:杭州市财政决算、企业预警通,风控信评部整理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杭州市经营性用地成交价分别为3,196.32亿元、2,237.91亿元、2,046.72亿元、1,422.93亿元、1,680.16亿元，2025年较2021年下降47.43%；同期平均溢价率为17.22%、5.64%、7.81%、12.99%、24.12%；成交楼面均价由7,146元/㎡降至5,642元/㎡、累计下降21.05%。2026年1-4月，杭州市经营性用地累计成交113宗、规划建面627.55万㎡、成交价222.89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图表:2021-2025年杭州市土地出让情况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4,472.76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7,146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3,196.32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3,872.81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2,237.91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3,561.79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5,743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2,046.72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3,057.39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1,422.93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2,977.81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1,680.16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222.89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杭州市商品住宅成交面积由1,954.30万㎡变动至560.83万㎡、累计下降71.3%；新房均价2025年为34,284元/㎡；2025年去化周期11.26个月。据中指冰山指数(最低挂牌价口径)，杭州二手房挂牌价较2022年4月高点累计下跌36.05%，2023年累计跌幅-9.96%、2024年累计跌幅-11.24%、2025年累计跌幅-8.86%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杭州市地方政府债务余额分别为3,867.09亿元、4,464.91亿元、5,089.74亿元，2025年末债务限额5,090.02亿元，债务余额控制在限额以内；城投有息债务2025年末估算余额21,312.94亿元。债务率指标看，2025年末政府债务率88.88%、城投债务率372.18%、宽口径债务率461.05%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杭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