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温州市信用评级报告(区域部分)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温州作为浙江省下辖地级市，经济总量列浙江省第三位，人均GDP约10.34万元、人均经济实力在省内相对靠后，经济增速由7.20%回落至6.10%、有所放缓；固定资产投资连续负增长（最新-14.70%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温州市2023、2024、2025年地区生产总值分别为9,220.58亿元、9,671.00亿元、10,213.90亿元，同比增长7.20%、6.30%、6.10%。截至2025年末，全市常住人口990.20万人，人均GDP约10.34万元。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产业结构方面，2025年温州市三次产业结构为2:36.3:61.7，以电气、鞋革、服装、汽摩配等民营轻工制造为特色，市场经济和民营资本发达。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2023、2024、2025年固定资产投资增速分别为7.40%、-0.80%、-14.70%，2025年社会消费品零售总额5,143.90亿元，进出口总额436.31亿美元。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杭州市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1.7:24.5:73.8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1270.00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宁波市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18,716.00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2.5:42:55.5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温州市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2:36.3:61.7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绍兴市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3:47:50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7,851.06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2:48.4:49.6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7,313.47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2.3:37.4:60.3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7,005.87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5.2:41.8:53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676.00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湖州市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4,452.80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衢州市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4.1:40.5:55.4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舟山市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9.5:42.1:48.4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5.6:35.4:59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253.90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温州市2025年GDP总量10,213.90亿元、列全省第三位，一般公共预算收入647.03亿元、列全省第四位。整体来看，温州市经济基本面在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温州市财政体量在浙江省处于中游，税收占比80.01%、税收质量较好，但政府性基金收入较2023年累计下降33%、土地财政贡献度弱化；2025年末宽口径债务率438.01%、处于偏高水平，已显著高于公认的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温州市一般公共预算收入分别为622.68亿元、632.58亿元、647.03亿元，其中税收收入502.27亿元、505.88亿元、517.70亿元，税收占比维持在80.66%、79.97%、80.01%；一般公共预算支出1,175.94亿元、1,177.64亿元、1,206.07亿元，财政自给率52.95%、53.72%、53.65%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政府性基金收入方面，2023、2024、2025年分别为1,310.70亿元、958.96亿元、884.27亿元，政府性基金收入较2023年累计下降33%、土地财政贡献度弱化，反映地方综合财力对房地产周期的敞口。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图表：2023-2025年温州市财政收入情况(单位:亿元、%)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632.58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505.88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1,175.94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1,177.64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1,206.07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1,310.70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958.96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-26.84%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-7.79%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资料来源:温州市财政决算、企业预警通,风控信评部整理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温州市经营性用地成交价分别为1,018.70亿元、628.10亿元、445.12亿元、341.11亿元、251.45亿元，2025年较2021年下降75.32%；同期平均溢价率为18.35%、3.17%、1.98%、2.58%、5.72%；成交楼面均价由3,584元/㎡降至1,056元/㎡、累计下降70.54%。2026年1-4月，温州市经营性用地累计成交176宗、规划建面739.08万㎡、成交价47.41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图表:2021-2025年温州市土地出让情况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2,842.53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18.35%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1,018.70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2,746.18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2,287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628.10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2,034.36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445.12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2,344.86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341.11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2,378.71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251.45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739.08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47.41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温州市商品住宅成交面积由942.82万㎡变动至542.93万㎡、累计下降42.4%；新房均价2025年为14,643元/㎡、较2021年高点(19,438元/㎡)累计下跌24.67%；2025年去化周期39.98个月。据中指冰山指数(最低挂牌价口径)，温州二手房挂牌价较2021年8月高点累计下跌49.62%，2023年累计跌幅-12.06%、2024年累计跌幅-16.21%、2025年累计跌幅-19.55%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温州市地方政府债务余额分别为3,074.71亿元、3,654.14亿元、4,380.54亿元，2025年末债务限额4,380.62亿元，债务余额控制在限额以内；城投有息债务2025年末估算余额6,328.24亿元。债务率指标看，2025年末政府债务率179.17%、城投债务率258.84%、宽口径债务率438.01%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温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