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绍兴市信用评级报告(区域部分)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绍兴作为浙江省下辖地级市，经济总量列浙江省第四位，人均GDP约16.43万元、人均经济实力居全省中游，经济增速由7.80%回落至6.50%、有所放缓；固定资产投资最新增速转负（-3.20%），经济动能仍有待修复。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绍兴市2023、2024、2025年地区生产总值分别为7,791.14亿元、8,369.00亿元、8,932.10亿元，同比增长7.80%、6.50%、6.50%。截至2025年末，全市常住人口544.30万人，人均GDP约16.43万元。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产业结构方面，2025年绍兴市三次产业结构为3:47:50，以纺织印染、化工、黄酒和集成电路为支柱，是全国重要的纺织产业基地。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2023、2024、2025年固定资产投资增速分别为10.00%、1.90%、-3.20%，2025年社会消费品零售总额3,255.00亿元，进出口总额540.96亿美元。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绍兴市2025年GDP总量8,932.10亿元、列全省第四位，一般公共预算收入603.45亿元、列全省第五位。整体来看，绍兴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绍兴市财政体量在浙江省处于中游，税收占比76.06%、税收质量较好，但政府性基金收入总体平稳；2025年末宽口径债务率988.62%、处于偏高水平，已显著高于公认的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绍兴市一般公共预算收入分别为578.75亿元、588.88亿元、603.45亿元，其中税收收入449.70亿元、448.28亿元、458.99亿元，税收占比维持在77.70%、76.12%、76.06%；一般公共预算支出778.64亿元、830.04亿元、812.13亿元，财政自给率74.33%、70.95%、74.30%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政府性基金收入方面，2023、2024、2025年分别为445.07亿元、417.37亿元、407.19亿元，政府性基金收入总体平稳，反映地方综合财力对房地产周期的敞口。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图表：2023-2025年绍兴市财政收入情况(单位:亿元、%)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578.75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448.28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458.99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417.37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407.19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资料来源:绍兴市财政决算、企业预警通,风控信评部整理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绍兴市经营性用地成交价分别为771.18亿元、442.93亿元、363.41亿元、277.12亿元、215.08亿元，2025年较2021年下降72.11%；同期平均溢价率为18.69%、1.30%、4.23%、1.87%、1.51%；成交楼面均价由3,107元/㎡降至998元/㎡、累计下降67.88%。2026年1-4月，绍兴市经营性用地累计成交123宗、规划建面680.62万㎡、成交价50.87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图表:2021-2025年绍兴市土地出让情况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2,482.20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771.18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2,380.54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442.93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2,271.79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1,600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363.41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2,089.06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277.12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2,140.31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680.62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50.87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从房地产销售看，2021-2025年绍兴市商品住宅成交面积由204.09万㎡变动至49.34万㎡、累计下降75.8%；新房均价2025年为21,715元/㎡、较2022年高点(26,552元/㎡)累计下跌18.22%；2025年去化周期35.93个月。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绍兴市地方政府债务余额分别为1,883.79亿元、2,216.35亿元、2,592.42亿元，2025年末债务限额2,592.48亿元，债务余额控制在限额以内；城投有息债务2025年末估算余额12,562.08亿元。债务率指标看，2025年末政府债务率169.12%、城投债务率819.50%、宽口径债务率988.62%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绍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